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校方责任保险案件理赔范畴及流程</w:t>
      </w:r>
    </w:p>
    <w:p>
      <w:pPr>
        <w:spacing w:line="220" w:lineRule="atLeast"/>
        <w:jc w:val="center"/>
        <w:rPr>
          <w:rFonts w:ascii="仿宋" w:hAnsi="仿宋" w:eastAsia="仿宋"/>
          <w:sz w:val="30"/>
          <w:szCs w:val="30"/>
        </w:rPr>
      </w:pPr>
    </w:p>
    <w:p>
      <w:pPr>
        <w:spacing w:line="220" w:lineRule="atLeast"/>
        <w:ind w:firstLine="450" w:firstLineChars="150"/>
        <w:rPr>
          <w:rStyle w:val="10"/>
          <w:rFonts w:ascii="仿宋" w:hAnsi="仿宋" w:eastAsia="仿宋" w:cs="Arial"/>
          <w:color w:val="333333"/>
          <w:sz w:val="30"/>
          <w:szCs w:val="30"/>
          <w:shd w:val="clear" w:color="auto" w:fill="FFFFFF"/>
        </w:rPr>
      </w:pPr>
      <w:r>
        <w:rPr>
          <w:rStyle w:val="10"/>
          <w:rFonts w:eastAsia="仿宋" w:cs="Arial" w:asciiTheme="minorEastAsia" w:hAnsiTheme="minorEastAsia"/>
          <w:color w:val="333333"/>
          <w:sz w:val="30"/>
          <w:szCs w:val="30"/>
          <w:shd w:val="clear" w:color="auto" w:fill="FFFFFF"/>
        </w:rPr>
        <w:t> </w:t>
      </w:r>
      <w:r>
        <w:rPr>
          <w:rStyle w:val="10"/>
          <w:rFonts w:hint="eastAsia" w:ascii="仿宋" w:hAnsi="仿宋" w:eastAsia="仿宋" w:cs="Arial"/>
          <w:color w:val="333333"/>
          <w:sz w:val="30"/>
          <w:szCs w:val="30"/>
          <w:shd w:val="clear" w:color="auto" w:fill="FFFFFF"/>
        </w:rPr>
        <w:t>根据《贵州省学校学生人身伤害事故预防与处理条例》以及贵州省教育厅、贵州省保监局《关于完善校方责任保险 推行校方责任保险附加无过失责任保险工作的通知》【2016（214）号】文件规定：</w:t>
      </w:r>
    </w:p>
    <w:p>
      <w:pPr>
        <w:spacing w:line="220" w:lineRule="atLeast"/>
        <w:ind w:firstLine="450" w:firstLineChars="150"/>
        <w:rPr>
          <w:rFonts w:ascii="仿宋" w:hAnsi="仿宋" w:eastAsia="仿宋" w:cs="Arial"/>
          <w:color w:val="333333"/>
          <w:sz w:val="30"/>
          <w:szCs w:val="30"/>
          <w:shd w:val="clear" w:color="auto" w:fill="FFFFFF"/>
        </w:rPr>
      </w:pPr>
      <w:r>
        <w:rPr>
          <w:rFonts w:ascii="仿宋" w:hAnsi="仿宋" w:eastAsia="仿宋" w:cs="Arial"/>
          <w:color w:val="333333"/>
          <w:sz w:val="30"/>
          <w:szCs w:val="30"/>
          <w:shd w:val="clear" w:color="auto" w:fill="FFFFFF"/>
        </w:rPr>
        <w:t>　</w:t>
      </w:r>
      <w:r>
        <w:rPr>
          <w:rFonts w:hint="eastAsia" w:ascii="仿宋" w:hAnsi="仿宋" w:eastAsia="仿宋" w:cs="Arial"/>
          <w:b/>
          <w:color w:val="333333"/>
          <w:sz w:val="30"/>
          <w:szCs w:val="30"/>
          <w:shd w:val="clear" w:color="auto" w:fill="FFFFFF"/>
        </w:rPr>
        <w:t>一、</w:t>
      </w:r>
      <w:r>
        <w:rPr>
          <w:rFonts w:ascii="仿宋" w:hAnsi="仿宋" w:eastAsia="仿宋" w:cs="Arial"/>
          <w:b/>
          <w:color w:val="333333"/>
          <w:sz w:val="30"/>
          <w:szCs w:val="30"/>
          <w:shd w:val="clear" w:color="auto" w:fill="FFFFFF"/>
        </w:rPr>
        <w:t xml:space="preserve"> </w:t>
      </w:r>
      <w:r>
        <w:rPr>
          <w:rFonts w:hint="eastAsia" w:ascii="仿宋" w:hAnsi="仿宋" w:eastAsia="仿宋" w:cs="Arial"/>
          <w:b/>
          <w:color w:val="333333"/>
          <w:sz w:val="30"/>
          <w:szCs w:val="30"/>
          <w:shd w:val="clear" w:color="auto" w:fill="FFFFFF"/>
        </w:rPr>
        <w:t>校方责任保险（主险）理赔范畴：</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（一）学校的校舍、场地和其他公共设施，以及学校提供给学生使用的学具、教育教学和生活设施、设备不符合国家、行业和省的安全和卫生标准，或者有明显不安全因素的；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（二）学校的安全保卫、消防和设施设备管理等安全管理制度有明显疏漏，或者管理混乱，存在安全隐患，未及时采取措施的；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（三）学校向学生提供的食品、饮用水、药品等不符合国家、行业和省的相关标准和要求的；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（四）学校组织学生参加教育教学活动或者校外活动，未对学生进行相应的安全教育，未在可预见的范围内采取必要的安全措施的；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（五）学校知道或者应当知道教职工患有不适宜担任教育教学工作或者其他工作的疾病，但未采取必要措施的；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（六）学校违反有关规定，组织或者安排未成年学生从事未成年人不宜参加的劳动、体育运动或者其他活动的；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（七）学校安排学生乘坐的交通工具或者驾驶人员不符合国家规定的；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（八）学生有特异体质或者特定疾病，不宜参加某种教育教学活动，学校知道或者应当知道，但未采取必要措施的；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（九）学校知道或者应当知道学生患有需要隔离治疗的传染病，未采取有效防范措施的；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（十）学校在突发事件中救助学生不力的；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（十一）学生在校期间突发疾病或者受到伤害，学校发现后未根据实际情况及时采取相应措施，导致不良后果加重的；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（十二）学校教职工体罚、变相体罚学生，或者在履行职责过程中违反工作要求、操作规程、职业道德或者其他有关规定的；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（十三）学校教职工在负有组织、管理未成年学生的职责期间，发现学生行为具有危险性，但未进行必要的管理、告诫或者制止的；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（十四）对未成年学生擅自离校等与学生人身安全直接相关的信息，学校发现或者知道，但未及时告知未成年学生的监护人，导致未成年学生因脱离监护人的保护而发生伤害的；</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（十五）学校未履行本条例规定的其他职责以及法律、法规规定应当承担责任的情形。</w:t>
      </w:r>
    </w:p>
    <w:p>
      <w:pPr>
        <w:spacing w:line="220" w:lineRule="atLeast"/>
        <w:ind w:firstLine="450" w:firstLineChars="150"/>
        <w:rPr>
          <w:rFonts w:ascii="仿宋" w:hAnsi="仿宋" w:eastAsia="仿宋" w:cs="Arial"/>
          <w:color w:val="333333"/>
          <w:sz w:val="30"/>
          <w:szCs w:val="30"/>
          <w:shd w:val="clear" w:color="auto" w:fill="FFFFFF"/>
        </w:rPr>
      </w:pP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w:t>
      </w:r>
      <w:r>
        <w:rPr>
          <w:rFonts w:ascii="仿宋" w:hAnsi="仿宋" w:eastAsia="仿宋" w:cs="Arial"/>
          <w:b/>
          <w:color w:val="333333"/>
          <w:sz w:val="30"/>
          <w:szCs w:val="30"/>
          <w:shd w:val="clear" w:color="auto" w:fill="FFFFFF"/>
        </w:rPr>
        <w:t>　</w:t>
      </w:r>
      <w:r>
        <w:rPr>
          <w:rFonts w:hint="eastAsia" w:ascii="仿宋" w:hAnsi="仿宋" w:eastAsia="仿宋" w:cs="Arial"/>
          <w:b/>
          <w:color w:val="333333"/>
          <w:sz w:val="30"/>
          <w:szCs w:val="30"/>
          <w:shd w:val="clear" w:color="auto" w:fill="FFFFFF"/>
        </w:rPr>
        <w:t>二、附加校方无过失责任保险理赔范畴：</w:t>
      </w:r>
      <w:r>
        <w:rPr>
          <w:rStyle w:val="10"/>
          <w:rFonts w:eastAsia="仿宋" w:cs="Arial" w:asciiTheme="minorEastAsia" w:hAnsiTheme="minorEastAsia"/>
          <w:color w:val="333333"/>
          <w:sz w:val="30"/>
          <w:szCs w:val="30"/>
          <w:shd w:val="clear" w:color="auto" w:fill="FFFFFF"/>
        </w:rPr>
        <w:t> </w:t>
      </w:r>
      <w:r>
        <w:rPr>
          <w:rFonts w:ascii="仿宋" w:hAnsi="仿宋" w:eastAsia="仿宋" w:cs="Arial"/>
          <w:color w:val="333333"/>
          <w:sz w:val="30"/>
          <w:szCs w:val="30"/>
        </w:rPr>
        <w:br w:type="textWrapping"/>
      </w:r>
      <w:r>
        <w:rPr>
          <w:rFonts w:ascii="仿宋" w:hAnsi="仿宋" w:eastAsia="仿宋" w:cs="Arial"/>
          <w:color w:val="333333"/>
          <w:sz w:val="30"/>
          <w:szCs w:val="30"/>
          <w:shd w:val="clear" w:color="auto" w:fill="FFFFFF"/>
        </w:rPr>
        <w:t>　　</w:t>
      </w:r>
      <w:r>
        <w:rPr>
          <w:rFonts w:hint="eastAsia" w:ascii="仿宋" w:hAnsi="仿宋" w:eastAsia="仿宋" w:cs="Arial"/>
          <w:color w:val="333333"/>
          <w:sz w:val="30"/>
          <w:szCs w:val="30"/>
          <w:shd w:val="clear" w:color="auto" w:fill="FFFFFF"/>
        </w:rPr>
        <w:t>在承保期间和承保区域范围内，在校学生在校园内教育教学活动期间或学校组织、安排的校内外活动过程中，因自然灾害、学生自身原因、学生体制差异、校内外突发性侵害或者学生自身行为导致在校学生发生人身伤亡，学校履行了相应职责，行为并无不当，但依法仍需对伤亡学生承当经济补偿责任时，由承保保险公司按照合同约定负责保险赔偿。</w:t>
      </w:r>
    </w:p>
    <w:p>
      <w:pPr>
        <w:spacing w:line="220" w:lineRule="atLeast"/>
        <w:ind w:firstLine="452" w:firstLineChars="150"/>
        <w:rPr>
          <w:rFonts w:ascii="仿宋" w:hAnsi="仿宋" w:eastAsia="仿宋" w:cs="Arial"/>
          <w:b/>
          <w:color w:val="333333"/>
          <w:sz w:val="30"/>
          <w:szCs w:val="30"/>
          <w:shd w:val="clear" w:color="auto" w:fill="FFFFFF"/>
        </w:rPr>
      </w:pPr>
      <w:r>
        <w:rPr>
          <w:rFonts w:hint="eastAsia" w:ascii="仿宋" w:hAnsi="仿宋" w:eastAsia="仿宋" w:cs="Arial"/>
          <w:b/>
          <w:color w:val="333333"/>
          <w:sz w:val="30"/>
          <w:szCs w:val="30"/>
          <w:shd w:val="clear" w:color="auto" w:fill="FFFFFF"/>
        </w:rPr>
        <w:t>三、出险报案流程：</w:t>
      </w:r>
    </w:p>
    <w:p>
      <w:pPr>
        <w:spacing w:line="220" w:lineRule="atLeast"/>
        <w:ind w:firstLine="450" w:firstLineChars="150"/>
        <w:rPr>
          <w:rFonts w:ascii="仿宋" w:hAnsi="仿宋" w:eastAsia="仿宋" w:cs="Arial"/>
          <w:color w:val="333333"/>
          <w:sz w:val="30"/>
          <w:szCs w:val="30"/>
          <w:shd w:val="clear" w:color="auto" w:fill="FFFFFF"/>
        </w:rPr>
      </w:pPr>
      <w:r>
        <w:rPr>
          <w:rFonts w:hint="eastAsia" w:ascii="仿宋" w:hAnsi="仿宋" w:eastAsia="仿宋" w:cs="Arial"/>
          <w:color w:val="333333"/>
          <w:sz w:val="30"/>
          <w:szCs w:val="30"/>
          <w:shd w:val="clear" w:color="auto" w:fill="FFFFFF"/>
        </w:rPr>
        <w:t>学校发生学生伤害事故后第一时间救助学生，然后向中国人寿财险报案：打95519按3键进入，同时报保险经纪公司理赔部：18985015705、大学生资助管理中心：0851-84872511。保险公司按照理赔服务流程开展理赔服务工作，保险经纪公司指导、追踪学校开展索赔工作。</w:t>
      </w:r>
    </w:p>
    <w:p>
      <w:pPr>
        <w:spacing w:line="220" w:lineRule="atLeast"/>
        <w:ind w:firstLine="450" w:firstLineChars="150"/>
        <w:rPr>
          <w:rFonts w:ascii="仿宋" w:hAnsi="仿宋" w:eastAsia="仿宋" w:cs="Arial"/>
          <w:color w:val="333333"/>
          <w:sz w:val="30"/>
          <w:szCs w:val="30"/>
          <w:shd w:val="clear" w:color="auto" w:fill="FFFFFF"/>
        </w:rPr>
      </w:pPr>
      <w:r>
        <w:rPr>
          <w:rFonts w:hint="eastAsia" w:ascii="仿宋" w:hAnsi="仿宋" w:eastAsia="仿宋" w:cs="Arial"/>
          <w:color w:val="333333"/>
          <w:sz w:val="30"/>
          <w:szCs w:val="30"/>
          <w:shd w:val="clear" w:color="auto" w:fill="FFFFFF"/>
        </w:rPr>
        <w:t>报案流程图如下：</w:t>
      </w:r>
    </w:p>
    <w:p>
      <w:pPr>
        <w:spacing w:line="220" w:lineRule="atLeast"/>
        <w:ind w:firstLine="452" w:firstLineChars="150"/>
        <w:jc w:val="center"/>
        <w:rPr>
          <w:rFonts w:ascii="仿宋" w:hAnsi="仿宋" w:eastAsia="仿宋" w:cs="Arial"/>
          <w:b/>
          <w:color w:val="333333"/>
          <w:sz w:val="30"/>
          <w:szCs w:val="30"/>
          <w:shd w:val="clear" w:color="auto" w:fill="FFFFFF"/>
        </w:rPr>
      </w:pPr>
      <w:r>
        <w:rPr>
          <w:rFonts w:ascii="仿宋" w:hAnsi="仿宋" w:eastAsia="仿宋" w:cs="Arial"/>
          <w:b/>
          <w:color w:val="333333"/>
          <w:sz w:val="30"/>
          <w:szCs w:val="30"/>
          <w:shd w:val="clear" w:color="auto" w:fill="FFFFFF"/>
        </w:rPr>
        <w:drawing>
          <wp:inline distT="0" distB="0" distL="0" distR="0">
            <wp:extent cx="3482340" cy="4457700"/>
            <wp:effectExtent l="19050" t="0" r="3270" b="0"/>
            <wp:docPr id="2" name="图片 1" descr="C:\Users\Administrator\Desktop\微信图片_201803061039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微信图片_20180306103937.png"/>
                    <pic:cNvPicPr>
                      <a:picLocks noChangeAspect="1" noChangeArrowheads="1"/>
                    </pic:cNvPicPr>
                  </pic:nvPicPr>
                  <pic:blipFill>
                    <a:blip r:embed="rId6" cstate="print"/>
                    <a:srcRect/>
                    <a:stretch>
                      <a:fillRect/>
                    </a:stretch>
                  </pic:blipFill>
                  <pic:spPr>
                    <a:xfrm>
                      <a:off x="0" y="0"/>
                      <a:ext cx="3486400" cy="4462205"/>
                    </a:xfrm>
                    <a:prstGeom prst="rect">
                      <a:avLst/>
                    </a:prstGeom>
                    <a:noFill/>
                    <a:ln w="9525">
                      <a:noFill/>
                      <a:miter lim="800000"/>
                      <a:headEnd/>
                      <a:tailEnd/>
                    </a:ln>
                  </pic:spPr>
                </pic:pic>
              </a:graphicData>
            </a:graphic>
          </wp:inline>
        </w:drawing>
      </w:r>
    </w:p>
    <w:p>
      <w:pPr>
        <w:spacing w:line="220" w:lineRule="atLeast"/>
        <w:ind w:firstLine="452" w:firstLineChars="150"/>
        <w:rPr>
          <w:rFonts w:ascii="仿宋" w:hAnsi="仿宋" w:eastAsia="仿宋" w:cs="Arial"/>
          <w:b/>
          <w:color w:val="333333"/>
          <w:sz w:val="30"/>
          <w:szCs w:val="30"/>
          <w:shd w:val="clear" w:color="auto" w:fill="FFFFFF"/>
        </w:rPr>
      </w:pPr>
      <w:r>
        <w:rPr>
          <w:rFonts w:hint="eastAsia" w:ascii="仿宋" w:hAnsi="仿宋" w:eastAsia="仿宋" w:cs="Arial"/>
          <w:b/>
          <w:color w:val="333333"/>
          <w:sz w:val="30"/>
          <w:szCs w:val="30"/>
          <w:shd w:val="clear" w:color="auto" w:fill="FFFFFF"/>
        </w:rPr>
        <w:t>理赔资料清单如下：</w:t>
      </w:r>
    </w:p>
    <w:p>
      <w:pPr>
        <w:spacing w:line="220" w:lineRule="atLeast"/>
        <w:ind w:firstLine="450" w:firstLineChars="150"/>
        <w:rPr>
          <w:rFonts w:ascii="仿宋" w:hAnsi="仿宋" w:eastAsia="仿宋" w:cs="Arial"/>
          <w:color w:val="333333"/>
          <w:sz w:val="30"/>
          <w:szCs w:val="30"/>
          <w:shd w:val="clear" w:color="auto" w:fill="FFFFFF"/>
        </w:rPr>
      </w:pPr>
      <w:r>
        <w:rPr>
          <w:rFonts w:hint="eastAsia" w:ascii="仿宋" w:hAnsi="仿宋" w:eastAsia="仿宋" w:cs="Arial"/>
          <w:color w:val="333333"/>
          <w:sz w:val="30"/>
          <w:szCs w:val="30"/>
          <w:shd w:val="clear" w:color="auto" w:fill="FFFFFF"/>
        </w:rPr>
        <w:t>事故证明书</w:t>
      </w:r>
    </w:p>
    <w:p>
      <w:pPr>
        <w:ind w:right="-680" w:firstLine="420" w:firstLineChars="150"/>
        <w:rPr>
          <w:rFonts w:ascii="仿宋" w:hAnsi="仿宋" w:eastAsia="仿宋"/>
          <w:sz w:val="28"/>
        </w:rPr>
      </w:pPr>
      <w:r>
        <w:rPr>
          <w:rFonts w:hint="eastAsia" w:ascii="仿宋" w:hAnsi="仿宋" w:eastAsia="仿宋"/>
          <w:sz w:val="28"/>
        </w:rPr>
        <w:t>伤者身份证及户口册清晰照片</w:t>
      </w:r>
    </w:p>
    <w:p>
      <w:pPr>
        <w:ind w:right="-680" w:firstLine="420" w:firstLineChars="150"/>
        <w:rPr>
          <w:rFonts w:ascii="仿宋" w:hAnsi="仿宋" w:eastAsia="仿宋"/>
          <w:sz w:val="28"/>
        </w:rPr>
      </w:pPr>
      <w:r>
        <w:rPr>
          <w:rFonts w:hint="eastAsia" w:ascii="仿宋" w:hAnsi="仿宋" w:eastAsia="仿宋"/>
          <w:sz w:val="28"/>
        </w:rPr>
        <w:t>银行卡清晰照片及银行卡开户行信息</w:t>
      </w:r>
    </w:p>
    <w:p>
      <w:pPr>
        <w:ind w:right="-680" w:firstLine="420" w:firstLineChars="150"/>
        <w:rPr>
          <w:rFonts w:ascii="仿宋" w:hAnsi="仿宋" w:eastAsia="仿宋"/>
          <w:sz w:val="28"/>
        </w:rPr>
      </w:pPr>
      <w:r>
        <w:rPr>
          <w:rFonts w:hint="eastAsia" w:ascii="仿宋" w:hAnsi="仿宋" w:eastAsia="仿宋"/>
          <w:sz w:val="28"/>
        </w:rPr>
        <w:t>赔偿协议</w:t>
      </w:r>
    </w:p>
    <w:p>
      <w:pPr>
        <w:ind w:firstLine="420" w:firstLineChars="150"/>
        <w:rPr>
          <w:rFonts w:ascii="仿宋" w:hAnsi="仿宋" w:eastAsia="仿宋" w:cs="华文中宋"/>
          <w:sz w:val="28"/>
          <w:szCs w:val="28"/>
        </w:rPr>
      </w:pPr>
      <w:r>
        <w:rPr>
          <w:rFonts w:hint="eastAsia" w:ascii="仿宋" w:hAnsi="仿宋" w:eastAsia="仿宋" w:cs="华文中宋"/>
          <w:sz w:val="28"/>
          <w:szCs w:val="28"/>
        </w:rPr>
        <w:t>一、医疗案件：</w:t>
      </w:r>
    </w:p>
    <w:p>
      <w:pPr>
        <w:ind w:firstLine="420" w:firstLineChars="150"/>
        <w:rPr>
          <w:rFonts w:ascii="仿宋" w:hAnsi="仿宋" w:eastAsia="仿宋" w:cs="华文中宋"/>
          <w:sz w:val="28"/>
          <w:szCs w:val="28"/>
        </w:rPr>
      </w:pPr>
      <w:r>
        <w:rPr>
          <w:rFonts w:hint="eastAsia" w:ascii="仿宋" w:hAnsi="仿宋" w:eastAsia="仿宋" w:cs="华文中宋"/>
          <w:sz w:val="28"/>
          <w:szCs w:val="28"/>
        </w:rPr>
        <w:t>1.疾病诊断证明书</w:t>
      </w:r>
    </w:p>
    <w:p>
      <w:pPr>
        <w:ind w:firstLine="420" w:firstLineChars="150"/>
        <w:rPr>
          <w:rFonts w:ascii="仿宋" w:hAnsi="仿宋" w:eastAsia="仿宋" w:cs="华文中宋"/>
          <w:sz w:val="28"/>
          <w:szCs w:val="28"/>
        </w:rPr>
      </w:pPr>
      <w:r>
        <w:rPr>
          <w:rFonts w:hint="eastAsia" w:ascii="仿宋" w:hAnsi="仿宋" w:eastAsia="仿宋" w:cs="华文中宋"/>
          <w:sz w:val="28"/>
          <w:szCs w:val="28"/>
        </w:rPr>
        <w:t>2.住院病历（入院记录、长期医嘱、临时医嘱、麻醉记录、手术记录等）</w:t>
      </w:r>
    </w:p>
    <w:p>
      <w:pPr>
        <w:ind w:firstLine="420" w:firstLineChars="150"/>
        <w:rPr>
          <w:rFonts w:ascii="仿宋" w:hAnsi="仿宋" w:eastAsia="仿宋" w:cs="华文中宋"/>
          <w:sz w:val="28"/>
          <w:szCs w:val="28"/>
        </w:rPr>
      </w:pPr>
      <w:r>
        <w:rPr>
          <w:rFonts w:hint="eastAsia" w:ascii="仿宋" w:hAnsi="仿宋" w:eastAsia="仿宋" w:cs="华文中宋"/>
          <w:sz w:val="28"/>
          <w:szCs w:val="28"/>
        </w:rPr>
        <w:t>3.出院小结</w:t>
      </w:r>
    </w:p>
    <w:p>
      <w:pPr>
        <w:ind w:firstLine="420" w:firstLineChars="150"/>
        <w:rPr>
          <w:rFonts w:ascii="仿宋" w:hAnsi="仿宋" w:eastAsia="仿宋" w:cs="华文中宋"/>
          <w:sz w:val="28"/>
          <w:szCs w:val="28"/>
        </w:rPr>
      </w:pPr>
      <w:r>
        <w:rPr>
          <w:rFonts w:hint="eastAsia" w:ascii="仿宋" w:hAnsi="仿宋" w:eastAsia="仿宋" w:cs="华文中宋"/>
          <w:sz w:val="28"/>
          <w:szCs w:val="28"/>
        </w:rPr>
        <w:t>4.医疗发票及用药清单（如有本保险以外方式，需提供分割单）</w:t>
      </w:r>
    </w:p>
    <w:p>
      <w:pPr>
        <w:ind w:firstLine="420" w:firstLineChars="150"/>
        <w:rPr>
          <w:rFonts w:ascii="仿宋" w:hAnsi="仿宋" w:eastAsia="仿宋" w:cs="华文中宋"/>
          <w:sz w:val="28"/>
          <w:szCs w:val="28"/>
        </w:rPr>
      </w:pPr>
      <w:r>
        <w:rPr>
          <w:rFonts w:hint="eastAsia" w:ascii="仿宋" w:hAnsi="仿宋" w:eastAsia="仿宋" w:cs="华文中宋"/>
          <w:sz w:val="28"/>
          <w:szCs w:val="28"/>
        </w:rPr>
        <w:t>二、伤残案件：</w:t>
      </w:r>
    </w:p>
    <w:p>
      <w:pPr>
        <w:ind w:firstLine="420" w:firstLineChars="150"/>
        <w:rPr>
          <w:rFonts w:ascii="仿宋" w:hAnsi="仿宋" w:eastAsia="仿宋" w:cs="华文中宋"/>
          <w:sz w:val="28"/>
          <w:szCs w:val="28"/>
        </w:rPr>
      </w:pPr>
      <w:r>
        <w:rPr>
          <w:rFonts w:hint="eastAsia" w:ascii="仿宋" w:hAnsi="仿宋" w:eastAsia="仿宋" w:cs="华文中宋"/>
          <w:sz w:val="28"/>
          <w:szCs w:val="28"/>
        </w:rPr>
        <w:t>1.以上医疗案件所需资料</w:t>
      </w:r>
    </w:p>
    <w:p>
      <w:pPr>
        <w:ind w:firstLine="420" w:firstLineChars="150"/>
        <w:rPr>
          <w:rFonts w:ascii="仿宋" w:hAnsi="仿宋" w:eastAsia="仿宋" w:cs="华文中宋"/>
          <w:sz w:val="28"/>
          <w:szCs w:val="28"/>
        </w:rPr>
      </w:pPr>
      <w:r>
        <w:rPr>
          <w:rFonts w:hint="eastAsia" w:ascii="仿宋" w:hAnsi="仿宋" w:eastAsia="仿宋" w:cs="华文中宋"/>
          <w:sz w:val="28"/>
          <w:szCs w:val="28"/>
        </w:rPr>
        <w:t>2.需提供第三方鉴定机构出具的伤残鉴定报告</w:t>
      </w:r>
    </w:p>
    <w:p>
      <w:pPr>
        <w:ind w:firstLine="420" w:firstLineChars="150"/>
        <w:rPr>
          <w:rFonts w:ascii="仿宋" w:hAnsi="仿宋" w:eastAsia="仿宋" w:cs="华文中宋"/>
          <w:sz w:val="28"/>
          <w:szCs w:val="28"/>
        </w:rPr>
      </w:pPr>
      <w:r>
        <w:rPr>
          <w:rFonts w:hint="eastAsia" w:ascii="仿宋" w:hAnsi="仿宋" w:eastAsia="仿宋" w:cs="华文中宋"/>
          <w:sz w:val="28"/>
          <w:szCs w:val="28"/>
        </w:rPr>
        <w:t>三、死亡案件：</w:t>
      </w:r>
    </w:p>
    <w:p>
      <w:pPr>
        <w:ind w:firstLine="420" w:firstLineChars="150"/>
        <w:rPr>
          <w:rFonts w:ascii="仿宋" w:hAnsi="仿宋" w:eastAsia="仿宋" w:cs="华文中宋"/>
          <w:sz w:val="28"/>
          <w:szCs w:val="28"/>
        </w:rPr>
      </w:pPr>
      <w:r>
        <w:rPr>
          <w:rFonts w:hint="eastAsia" w:ascii="仿宋" w:hAnsi="仿宋" w:eastAsia="仿宋" w:cs="华文中宋"/>
          <w:sz w:val="28"/>
          <w:szCs w:val="28"/>
        </w:rPr>
        <w:t>1、需提供医学死亡证明、</w:t>
      </w:r>
    </w:p>
    <w:p>
      <w:pPr>
        <w:ind w:firstLine="420" w:firstLineChars="150"/>
        <w:rPr>
          <w:rFonts w:ascii="仿宋" w:hAnsi="仿宋" w:eastAsia="仿宋" w:cs="华文中宋"/>
          <w:sz w:val="28"/>
          <w:szCs w:val="28"/>
        </w:rPr>
      </w:pPr>
      <w:r>
        <w:rPr>
          <w:rFonts w:hint="eastAsia" w:ascii="仿宋" w:hAnsi="仿宋" w:eastAsia="仿宋" w:cs="华文中宋"/>
          <w:sz w:val="28"/>
          <w:szCs w:val="28"/>
        </w:rPr>
        <w:t>2、公安机关等出具事故证明、</w:t>
      </w:r>
    </w:p>
    <w:p>
      <w:pPr>
        <w:ind w:firstLine="420" w:firstLineChars="150"/>
        <w:rPr>
          <w:rFonts w:ascii="仿宋" w:hAnsi="仿宋" w:eastAsia="仿宋" w:cs="华文中宋"/>
          <w:sz w:val="28"/>
          <w:szCs w:val="28"/>
        </w:rPr>
      </w:pPr>
      <w:r>
        <w:rPr>
          <w:rFonts w:hint="eastAsia" w:ascii="仿宋" w:hAnsi="仿宋" w:eastAsia="仿宋" w:cs="华文中宋"/>
          <w:sz w:val="28"/>
          <w:szCs w:val="28"/>
        </w:rPr>
        <w:t>3、尸检报告</w:t>
      </w:r>
    </w:p>
    <w:p>
      <w:pPr>
        <w:ind w:firstLine="420" w:firstLineChars="150"/>
        <w:rPr>
          <w:rFonts w:ascii="仿宋" w:hAnsi="仿宋" w:eastAsia="仿宋" w:cs="华文中宋"/>
          <w:sz w:val="28"/>
          <w:szCs w:val="28"/>
        </w:rPr>
      </w:pPr>
      <w:r>
        <w:rPr>
          <w:rFonts w:hint="eastAsia" w:ascii="仿宋" w:hAnsi="仿宋" w:eastAsia="仿宋" w:cs="华文中宋"/>
          <w:sz w:val="28"/>
          <w:szCs w:val="28"/>
        </w:rPr>
        <w:t>4、火化证明（土葬证明）</w:t>
      </w:r>
    </w:p>
    <w:p>
      <w:pPr>
        <w:ind w:firstLine="420" w:firstLineChars="150"/>
        <w:rPr>
          <w:rFonts w:hint="eastAsia" w:ascii="仿宋" w:hAnsi="仿宋" w:eastAsia="仿宋" w:cs="华文中宋"/>
          <w:sz w:val="28"/>
          <w:szCs w:val="28"/>
        </w:rPr>
      </w:pPr>
      <w:r>
        <w:rPr>
          <w:rFonts w:hint="eastAsia" w:ascii="仿宋" w:hAnsi="仿宋" w:eastAsia="仿宋" w:cs="华文中宋"/>
          <w:sz w:val="28"/>
          <w:szCs w:val="28"/>
        </w:rPr>
        <w:t>5、户口注销证明</w:t>
      </w:r>
    </w:p>
    <w:p>
      <w:pPr>
        <w:ind w:firstLine="420" w:firstLineChars="150"/>
        <w:rPr>
          <w:rFonts w:hint="eastAsia" w:ascii="仿宋" w:hAnsi="仿宋" w:eastAsia="仿宋" w:cs="华文中宋"/>
          <w:sz w:val="28"/>
          <w:szCs w:val="28"/>
        </w:rPr>
      </w:pPr>
    </w:p>
    <w:p>
      <w:pPr>
        <w:spacing w:line="220" w:lineRule="atLeast"/>
        <w:ind w:firstLine="452" w:firstLineChars="150"/>
        <w:rPr>
          <w:rFonts w:ascii="仿宋" w:hAnsi="仿宋" w:eastAsia="仿宋" w:cs="Arial"/>
          <w:b/>
          <w:color w:val="333333"/>
          <w:sz w:val="30"/>
          <w:szCs w:val="30"/>
          <w:shd w:val="clear" w:color="auto" w:fill="FFFFFF"/>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41FA5"/>
    <w:rsid w:val="00046701"/>
    <w:rsid w:val="000A4EAC"/>
    <w:rsid w:val="000B21C5"/>
    <w:rsid w:val="001115A9"/>
    <w:rsid w:val="0014024A"/>
    <w:rsid w:val="001D2BA6"/>
    <w:rsid w:val="00235C3A"/>
    <w:rsid w:val="002B45FE"/>
    <w:rsid w:val="002E0F9B"/>
    <w:rsid w:val="00323B43"/>
    <w:rsid w:val="00381F06"/>
    <w:rsid w:val="003D37D8"/>
    <w:rsid w:val="003F7146"/>
    <w:rsid w:val="00426133"/>
    <w:rsid w:val="004358AB"/>
    <w:rsid w:val="00441E34"/>
    <w:rsid w:val="00513A25"/>
    <w:rsid w:val="00515827"/>
    <w:rsid w:val="005A0769"/>
    <w:rsid w:val="006B3FC0"/>
    <w:rsid w:val="007006AE"/>
    <w:rsid w:val="007B7758"/>
    <w:rsid w:val="007C1888"/>
    <w:rsid w:val="00823548"/>
    <w:rsid w:val="00855AD3"/>
    <w:rsid w:val="00876005"/>
    <w:rsid w:val="008B7726"/>
    <w:rsid w:val="008F16D3"/>
    <w:rsid w:val="00974C5D"/>
    <w:rsid w:val="009B3C3D"/>
    <w:rsid w:val="00A7438A"/>
    <w:rsid w:val="00BE3E50"/>
    <w:rsid w:val="00C3708B"/>
    <w:rsid w:val="00C7702F"/>
    <w:rsid w:val="00CF382D"/>
    <w:rsid w:val="00D132CE"/>
    <w:rsid w:val="00D31D50"/>
    <w:rsid w:val="00D8027B"/>
    <w:rsid w:val="00DB5072"/>
    <w:rsid w:val="00DD2660"/>
    <w:rsid w:val="09296F29"/>
    <w:rsid w:val="5EEA1B83"/>
    <w:rsid w:val="6D69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 w:type="character" w:customStyle="1" w:styleId="10">
    <w:name w:val="apple-converted-space"/>
    <w:basedOn w:val="6"/>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227</Words>
  <Characters>1300</Characters>
  <Lines>10</Lines>
  <Paragraphs>3</Paragraphs>
  <TotalTime>24</TotalTime>
  <ScaleCrop>false</ScaleCrop>
  <LinksUpToDate>false</LinksUpToDate>
  <CharactersWithSpaces>1524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2018-03-06T03:04:00Z</dcterms:created>
  <dc:creator>Administrator</dc:creator>
  <cp:lastModifiedBy>DELL</cp:lastModifiedBy>
  <dcterms:modified xsi:type="dcterms:W3CDTF">2021-10-12T08:28:33Z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9C6507F7EE9943168DF0FF07B4BABB4D</vt:lpwstr>
  </property>
</Properties>
</file>