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7BD" w:rsidRDefault="0083125C" w:rsidP="00EB313F">
      <w:pPr>
        <w:widowControl/>
        <w:shd w:val="clear" w:color="auto" w:fill="FFFFFF"/>
        <w:jc w:val="left"/>
        <w:rPr>
          <w:rFonts w:ascii="微软雅黑" w:eastAsia="微软雅黑" w:hAnsi="微软雅黑" w:cs="宋体"/>
          <w:color w:val="333333"/>
          <w:kern w:val="0"/>
          <w:sz w:val="24"/>
          <w:szCs w:val="24"/>
        </w:rPr>
      </w:pPr>
      <w:r w:rsidRPr="0083125C">
        <w:rPr>
          <w:rFonts w:ascii="微软雅黑" w:eastAsia="微软雅黑" w:hAnsi="微软雅黑" w:cs="宋体"/>
          <w:noProof/>
          <w:color w:val="333333"/>
          <w:kern w:val="0"/>
          <w:sz w:val="24"/>
          <w:szCs w:val="24"/>
        </w:rPr>
        <w:drawing>
          <wp:inline distT="0" distB="0" distL="0" distR="0">
            <wp:extent cx="5257800" cy="2676410"/>
            <wp:effectExtent l="0" t="0" r="0" b="0"/>
            <wp:docPr id="1" name="图片 1" descr="C:\Users\HP\Desktop\QQ截图20200609083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QQ截图2020060908333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3400" cy="2679261"/>
                    </a:xfrm>
                    <a:prstGeom prst="rect">
                      <a:avLst/>
                    </a:prstGeom>
                    <a:noFill/>
                    <a:ln>
                      <a:noFill/>
                    </a:ln>
                  </pic:spPr>
                </pic:pic>
              </a:graphicData>
            </a:graphic>
          </wp:inline>
        </w:drawing>
      </w:r>
    </w:p>
    <w:p w:rsidR="00D867BD" w:rsidRPr="00D867BD" w:rsidRDefault="00EB313F" w:rsidP="00D867BD">
      <w:pPr>
        <w:widowControl/>
        <w:shd w:val="clear" w:color="auto" w:fill="FFFFFF"/>
        <w:jc w:val="center"/>
        <w:rPr>
          <w:rFonts w:ascii="微软雅黑" w:eastAsia="微软雅黑" w:hAnsi="微软雅黑" w:cs="宋体"/>
          <w:b/>
          <w:color w:val="333333"/>
          <w:kern w:val="0"/>
          <w:sz w:val="32"/>
          <w:szCs w:val="32"/>
        </w:rPr>
      </w:pPr>
      <w:r w:rsidRPr="00D867BD">
        <w:rPr>
          <w:rFonts w:ascii="微软雅黑" w:eastAsia="微软雅黑" w:hAnsi="微软雅黑" w:cs="宋体" w:hint="eastAsia"/>
          <w:b/>
          <w:color w:val="333333"/>
          <w:kern w:val="0"/>
          <w:sz w:val="32"/>
          <w:szCs w:val="32"/>
        </w:rPr>
        <w:t>财政部 税务总局</w:t>
      </w:r>
    </w:p>
    <w:p w:rsidR="00D867BD" w:rsidRPr="00D867BD" w:rsidRDefault="00EB313F" w:rsidP="00D867BD">
      <w:pPr>
        <w:widowControl/>
        <w:shd w:val="clear" w:color="auto" w:fill="FFFFFF"/>
        <w:jc w:val="center"/>
        <w:rPr>
          <w:rFonts w:ascii="微软雅黑" w:eastAsia="微软雅黑" w:hAnsi="微软雅黑" w:cs="宋体"/>
          <w:b/>
          <w:color w:val="333333"/>
          <w:kern w:val="0"/>
          <w:sz w:val="32"/>
          <w:szCs w:val="32"/>
        </w:rPr>
      </w:pPr>
      <w:r w:rsidRPr="00D867BD">
        <w:rPr>
          <w:rFonts w:ascii="微软雅黑" w:eastAsia="微软雅黑" w:hAnsi="微软雅黑" w:cs="宋体" w:hint="eastAsia"/>
          <w:b/>
          <w:color w:val="333333"/>
          <w:kern w:val="0"/>
          <w:sz w:val="32"/>
          <w:szCs w:val="32"/>
        </w:rPr>
        <w:t>关于个人所得税法修改后有关优惠政策衔接问题的通知</w:t>
      </w:r>
    </w:p>
    <w:p w:rsidR="00EB313F" w:rsidRPr="00EB313F" w:rsidRDefault="00EB313F" w:rsidP="00D867BD">
      <w:pPr>
        <w:widowControl/>
        <w:shd w:val="clear" w:color="auto" w:fill="FFFFFF"/>
        <w:jc w:val="center"/>
        <w:rPr>
          <w:rFonts w:ascii="微软雅黑" w:eastAsia="微软雅黑" w:hAnsi="微软雅黑" w:cs="宋体"/>
          <w:color w:val="333333"/>
          <w:kern w:val="0"/>
          <w:sz w:val="24"/>
          <w:szCs w:val="24"/>
        </w:rPr>
      </w:pPr>
      <w:r w:rsidRPr="00EB313F">
        <w:rPr>
          <w:rFonts w:ascii="微软雅黑" w:eastAsia="微软雅黑" w:hAnsi="微软雅黑" w:cs="宋体" w:hint="eastAsia"/>
          <w:color w:val="DF0000"/>
          <w:kern w:val="0"/>
          <w:sz w:val="24"/>
          <w:szCs w:val="24"/>
        </w:rPr>
        <w:t>财税〔2018〕164号</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各省、自治区、直辖市、计划单列市财政厅（局），国家税务总局各省、自治区、直辖市、计划单列市税务局，新疆生产建设兵团财政局：</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为贯彻落实修改后的《中华人民共和国个人所得税法》，现将个人所得税优惠政策衔接有关事项通知如下：</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w:t>
      </w:r>
      <w:r w:rsidRPr="00EB313F">
        <w:rPr>
          <w:rFonts w:ascii="微软雅黑" w:eastAsia="微软雅黑" w:hAnsi="微软雅黑" w:cs="宋体" w:hint="eastAsia"/>
          <w:b/>
          <w:bCs/>
          <w:color w:val="333333"/>
          <w:kern w:val="0"/>
          <w:sz w:val="24"/>
          <w:szCs w:val="24"/>
        </w:rPr>
        <w:t>一、关于全年一次性奖金、中央企业负责人年度绩效薪金延期兑现收入和任期奖励的政策</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（一）居民个人取得全年一次性奖金，符合《国家税务总局关于调整个人取得全年一次性奖金等计算征收个人所得税方法问题的通知》（国税发〔2005〕9号）规定的，在2021年12月31日前，</w:t>
      </w:r>
      <w:proofErr w:type="gramStart"/>
      <w:r w:rsidRPr="00EB313F">
        <w:rPr>
          <w:rFonts w:ascii="微软雅黑" w:eastAsia="微软雅黑" w:hAnsi="微软雅黑" w:cs="宋体" w:hint="eastAsia"/>
          <w:color w:val="333333"/>
          <w:kern w:val="0"/>
          <w:sz w:val="24"/>
          <w:szCs w:val="24"/>
        </w:rPr>
        <w:t>不</w:t>
      </w:r>
      <w:proofErr w:type="gramEnd"/>
      <w:r w:rsidRPr="00EB313F">
        <w:rPr>
          <w:rFonts w:ascii="微软雅黑" w:eastAsia="微软雅黑" w:hAnsi="微软雅黑" w:cs="宋体" w:hint="eastAsia"/>
          <w:color w:val="333333"/>
          <w:kern w:val="0"/>
          <w:sz w:val="24"/>
          <w:szCs w:val="24"/>
        </w:rPr>
        <w:t>并入当年综合所得，以全年一次性奖金收入除以12个月得到的数额，按照本通知所附按月换算后的综合所得税率表（以下简称月度税率表），确定适用税率和速算扣除数，单独计算纳税。计算公式为：</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lastRenderedPageBreak/>
        <w:t xml:space="preserve">　　应纳税额＝全年一次性奖金收入×适用税率－速算扣除数</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居民个人取得全年一次性奖金，也可以选择并入当年综合所得计算纳税。</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自2022年1月1日起，居民个人取得全年一次性奖金，应并入当年综合所得计算缴纳个人所得税。</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二）中央企业负责人取得年度绩效薪金延期兑现收入和任期奖励，符合《国家税务总局关于中央企业负责人年度绩效薪金延期兑现收入和任期奖励征收个人所得税问题的通知》（国税发〔2007〕118号）规定的，在2021年12月31日前，参照本通知第一条第（一）项执行；2022年1月1日之后的政策另行明确。</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w:t>
      </w:r>
      <w:r w:rsidRPr="00EB313F">
        <w:rPr>
          <w:rFonts w:ascii="微软雅黑" w:eastAsia="微软雅黑" w:hAnsi="微软雅黑" w:cs="宋体" w:hint="eastAsia"/>
          <w:b/>
          <w:bCs/>
          <w:color w:val="333333"/>
          <w:kern w:val="0"/>
          <w:sz w:val="24"/>
          <w:szCs w:val="24"/>
        </w:rPr>
        <w:t>二、关于上市公司股权激励的政策</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（一）居民个人取得股票期权、股票增值权、限制性股票、股权奖励等股权激励（以下简称股权激励），符合《财政部 国家税务总局关于个人股票期权所得征收个人所得税问题的通知》（财税〔2005〕35号）、《财政部国家税务总局关于股票增值权所得和限制性股票所得征收个人所得税有关问题的通知》（财税〔2009〕5号）、《财政部 国家税务总局关于将国家自主创新示范区有关税收试点政策推广到全国范围实施的通知》（财税〔2015〕116号）第四条、《财政部国家税务总局关于完善股权激励和技术入股有关所得税政策的通知》（财税〔2016〕101号）第四条第（一）项规定的相关条件的，在2021年12月31日前，</w:t>
      </w:r>
      <w:proofErr w:type="gramStart"/>
      <w:r w:rsidRPr="00EB313F">
        <w:rPr>
          <w:rFonts w:ascii="微软雅黑" w:eastAsia="微软雅黑" w:hAnsi="微软雅黑" w:cs="宋体" w:hint="eastAsia"/>
          <w:color w:val="333333"/>
          <w:kern w:val="0"/>
          <w:sz w:val="24"/>
          <w:szCs w:val="24"/>
        </w:rPr>
        <w:t>不</w:t>
      </w:r>
      <w:proofErr w:type="gramEnd"/>
      <w:r w:rsidRPr="00EB313F">
        <w:rPr>
          <w:rFonts w:ascii="微软雅黑" w:eastAsia="微软雅黑" w:hAnsi="微软雅黑" w:cs="宋体" w:hint="eastAsia"/>
          <w:color w:val="333333"/>
          <w:kern w:val="0"/>
          <w:sz w:val="24"/>
          <w:szCs w:val="24"/>
        </w:rPr>
        <w:t>并入当年综合所得，全额单独适用综合所得税率表，计算纳税。计算公式为：</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应纳税额＝股权激励收入×适用税率－速算扣除数</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lastRenderedPageBreak/>
        <w:t xml:space="preserve">　　（二）居民个人一个纳税年度内取得两次以上（含两次）股权激励的，应合并按本通知第二条第（一）项规定计算纳税。</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（三）2022年1月1日之后的股权激励政策另行明确。</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w:t>
      </w:r>
      <w:r w:rsidRPr="00EB313F">
        <w:rPr>
          <w:rFonts w:ascii="微软雅黑" w:eastAsia="微软雅黑" w:hAnsi="微软雅黑" w:cs="宋体" w:hint="eastAsia"/>
          <w:b/>
          <w:bCs/>
          <w:color w:val="333333"/>
          <w:kern w:val="0"/>
          <w:sz w:val="24"/>
          <w:szCs w:val="24"/>
        </w:rPr>
        <w:t>三、关于保险营销员、证券经纪人佣金收入的政策</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保险营销员、证券经纪人取得的佣金收入，属于劳务报酬所得，以不含增值税的收入减除20%的费用后的余额为收入额，收入额减去展业成本以及附加税费后，并入当年综合所得，计算缴纳个人所得税。保险营销员、证券经纪人展业成本按照收入额的25%计算。</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扣缴义务人向保险营销员、证券经纪人支付佣金收入时，应按照《个人所得税扣缴申报管理办法（试行）》（国家税务总局公告2018年第61号）规定的累计预扣法计算预扣税款。</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w:t>
      </w:r>
      <w:r w:rsidRPr="00EB313F">
        <w:rPr>
          <w:rFonts w:ascii="微软雅黑" w:eastAsia="微软雅黑" w:hAnsi="微软雅黑" w:cs="宋体" w:hint="eastAsia"/>
          <w:b/>
          <w:bCs/>
          <w:color w:val="333333"/>
          <w:kern w:val="0"/>
          <w:sz w:val="24"/>
          <w:szCs w:val="24"/>
        </w:rPr>
        <w:t>四、关于个人领取企业年金、职业年金的政策</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个人达到国家规定的退休年龄，领取的企业年金、职业年金，符合《财政部 人力资源社会保障部 国家税务总局关于企业年金 职业年金个人所得税有关问题的通知》（财税〔2013〕103号）规定的，</w:t>
      </w:r>
      <w:proofErr w:type="gramStart"/>
      <w:r w:rsidRPr="00EB313F">
        <w:rPr>
          <w:rFonts w:ascii="微软雅黑" w:eastAsia="微软雅黑" w:hAnsi="微软雅黑" w:cs="宋体" w:hint="eastAsia"/>
          <w:color w:val="333333"/>
          <w:kern w:val="0"/>
          <w:sz w:val="24"/>
          <w:szCs w:val="24"/>
        </w:rPr>
        <w:t>不</w:t>
      </w:r>
      <w:proofErr w:type="gramEnd"/>
      <w:r w:rsidRPr="00EB313F">
        <w:rPr>
          <w:rFonts w:ascii="微软雅黑" w:eastAsia="微软雅黑" w:hAnsi="微软雅黑" w:cs="宋体" w:hint="eastAsia"/>
          <w:color w:val="333333"/>
          <w:kern w:val="0"/>
          <w:sz w:val="24"/>
          <w:szCs w:val="24"/>
        </w:rPr>
        <w:t>并入综合所得，全额单独计算应纳税款。其中按月领取的，适用月度税率表计算纳税；按季领取的，平均分摊计入各月，按每月领取额适用月度税率表计算纳税；按年领取的，适用</w:t>
      </w:r>
      <w:proofErr w:type="gramStart"/>
      <w:r w:rsidRPr="00EB313F">
        <w:rPr>
          <w:rFonts w:ascii="微软雅黑" w:eastAsia="微软雅黑" w:hAnsi="微软雅黑" w:cs="宋体" w:hint="eastAsia"/>
          <w:color w:val="333333"/>
          <w:kern w:val="0"/>
          <w:sz w:val="24"/>
          <w:szCs w:val="24"/>
        </w:rPr>
        <w:t>综合所得税率表计算</w:t>
      </w:r>
      <w:proofErr w:type="gramEnd"/>
      <w:r w:rsidRPr="00EB313F">
        <w:rPr>
          <w:rFonts w:ascii="微软雅黑" w:eastAsia="微软雅黑" w:hAnsi="微软雅黑" w:cs="宋体" w:hint="eastAsia"/>
          <w:color w:val="333333"/>
          <w:kern w:val="0"/>
          <w:sz w:val="24"/>
          <w:szCs w:val="24"/>
        </w:rPr>
        <w:t>纳税。</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个人因出境定居而一次性领取的年金个人账户资金，或个人死亡后，其指定的受益人或法定继承人一次性领取的年金个人账户余额，适用</w:t>
      </w:r>
      <w:proofErr w:type="gramStart"/>
      <w:r w:rsidRPr="00EB313F">
        <w:rPr>
          <w:rFonts w:ascii="微软雅黑" w:eastAsia="微软雅黑" w:hAnsi="微软雅黑" w:cs="宋体" w:hint="eastAsia"/>
          <w:color w:val="333333"/>
          <w:kern w:val="0"/>
          <w:sz w:val="24"/>
          <w:szCs w:val="24"/>
        </w:rPr>
        <w:t>综合所得税率表计算</w:t>
      </w:r>
      <w:proofErr w:type="gramEnd"/>
      <w:r w:rsidRPr="00EB313F">
        <w:rPr>
          <w:rFonts w:ascii="微软雅黑" w:eastAsia="微软雅黑" w:hAnsi="微软雅黑" w:cs="宋体" w:hint="eastAsia"/>
          <w:color w:val="333333"/>
          <w:kern w:val="0"/>
          <w:sz w:val="24"/>
          <w:szCs w:val="24"/>
        </w:rPr>
        <w:t>纳税。对个人除上述特殊原因外一次性领取年金个人账户资金或余额的，适用月度税率表计算纳税。</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lastRenderedPageBreak/>
        <w:t xml:space="preserve">　　</w:t>
      </w:r>
      <w:r w:rsidRPr="00EB313F">
        <w:rPr>
          <w:rFonts w:ascii="微软雅黑" w:eastAsia="微软雅黑" w:hAnsi="微软雅黑" w:cs="宋体" w:hint="eastAsia"/>
          <w:b/>
          <w:bCs/>
          <w:color w:val="333333"/>
          <w:kern w:val="0"/>
          <w:sz w:val="24"/>
          <w:szCs w:val="24"/>
        </w:rPr>
        <w:t>五、关于解除劳动关系、提前退休、内部退养的一次性补偿收入的政策</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（一）个人与用人单位解除劳动关系取得一次性补偿收入（包括用人单位发放的经济补偿金、生活补助费和其他补助费），在当地上年职工平均工资3倍数额以内的部分，免征个人所得税；超过3倍数额的部分，</w:t>
      </w:r>
      <w:proofErr w:type="gramStart"/>
      <w:r w:rsidRPr="00EB313F">
        <w:rPr>
          <w:rFonts w:ascii="微软雅黑" w:eastAsia="微软雅黑" w:hAnsi="微软雅黑" w:cs="宋体" w:hint="eastAsia"/>
          <w:color w:val="333333"/>
          <w:kern w:val="0"/>
          <w:sz w:val="24"/>
          <w:szCs w:val="24"/>
        </w:rPr>
        <w:t>不</w:t>
      </w:r>
      <w:proofErr w:type="gramEnd"/>
      <w:r w:rsidRPr="00EB313F">
        <w:rPr>
          <w:rFonts w:ascii="微软雅黑" w:eastAsia="微软雅黑" w:hAnsi="微软雅黑" w:cs="宋体" w:hint="eastAsia"/>
          <w:color w:val="333333"/>
          <w:kern w:val="0"/>
          <w:sz w:val="24"/>
          <w:szCs w:val="24"/>
        </w:rPr>
        <w:t>并入当年综合所得，单独适用综合所得税率表，计算纳税。</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（二）个人办理提前退休手续而取得的一次性补贴收入，应按照办理提前退休手续至法定离退休年龄之间实际年度数平均分摊，确定适用税率和速算扣除数，单独适用综合所得税率表，计算纳税。计算公式：</w:t>
      </w:r>
      <w:r w:rsidRPr="00EB313F">
        <w:rPr>
          <w:rFonts w:ascii="微软雅黑" w:eastAsia="微软雅黑" w:hAnsi="微软雅黑" w:cs="宋体" w:hint="eastAsia"/>
          <w:color w:val="333333"/>
          <w:kern w:val="0"/>
          <w:sz w:val="24"/>
          <w:szCs w:val="24"/>
        </w:rPr>
        <w:br/>
        <w:t xml:space="preserve">　　应纳税额={〔（一次性补贴收入÷办理提前退休手续至法定退休年龄的实际年度数）－费用扣除标准〕×适用税率－速算扣除数}×办理提前退休手续至法定退休年龄的实际年度数</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（三）个人办理内部退养手续而取得的一次性补贴收入，按照《国家税务总局关于个人所得税有关政策问题的通知》（国税发〔1999〕58号）规定计算纳税。</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w:t>
      </w:r>
      <w:r w:rsidRPr="00EB313F">
        <w:rPr>
          <w:rFonts w:ascii="微软雅黑" w:eastAsia="微软雅黑" w:hAnsi="微软雅黑" w:cs="宋体" w:hint="eastAsia"/>
          <w:b/>
          <w:bCs/>
          <w:color w:val="333333"/>
          <w:kern w:val="0"/>
          <w:sz w:val="24"/>
          <w:szCs w:val="24"/>
        </w:rPr>
        <w:t>六、关于单位低价向职工售房的政策</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单位按低于购置或建造成本价格出售住房给职工，职工因此而少支出的差价部分，符合《财政部 国家税务总局关于单位低价向职工售房有关个人所得税问题的通知》（财税〔2007〕13号）第二条规定的，</w:t>
      </w:r>
      <w:proofErr w:type="gramStart"/>
      <w:r w:rsidRPr="00EB313F">
        <w:rPr>
          <w:rFonts w:ascii="微软雅黑" w:eastAsia="微软雅黑" w:hAnsi="微软雅黑" w:cs="宋体" w:hint="eastAsia"/>
          <w:color w:val="333333"/>
          <w:kern w:val="0"/>
          <w:sz w:val="24"/>
          <w:szCs w:val="24"/>
        </w:rPr>
        <w:t>不</w:t>
      </w:r>
      <w:proofErr w:type="gramEnd"/>
      <w:r w:rsidRPr="00EB313F">
        <w:rPr>
          <w:rFonts w:ascii="微软雅黑" w:eastAsia="微软雅黑" w:hAnsi="微软雅黑" w:cs="宋体" w:hint="eastAsia"/>
          <w:color w:val="333333"/>
          <w:kern w:val="0"/>
          <w:sz w:val="24"/>
          <w:szCs w:val="24"/>
        </w:rPr>
        <w:t>并入当年综合所得，以差价收入除以12个月得到的数额，按照月度税率表确定适用税率和速算扣除数，单独计算纳税。计算公式为：</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应纳税额＝职工实际支付的购房价款低于该房屋的购置或建造成本价格的差额×适用税率－速算扣除数</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lastRenderedPageBreak/>
        <w:t xml:space="preserve">　　</w:t>
      </w:r>
      <w:r w:rsidRPr="00EB313F">
        <w:rPr>
          <w:rFonts w:ascii="微软雅黑" w:eastAsia="微软雅黑" w:hAnsi="微软雅黑" w:cs="宋体" w:hint="eastAsia"/>
          <w:b/>
          <w:bCs/>
          <w:color w:val="333333"/>
          <w:kern w:val="0"/>
          <w:sz w:val="24"/>
          <w:szCs w:val="24"/>
        </w:rPr>
        <w:t>七、关于外籍个人有关津补贴的政策</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（一）2019年1月1日至2021年12月31日期间，外籍个人符合居民个人条件的，可以选择享受个人所得税专项附加扣除，也可以选择按照《财政部　国家税务总局关于个人所得税若干政策问题的通知》（财税〔1994〕20号）、《国家税务总局关于外籍个人取得有关补贴征免个人所得税执行问题的通知》（国税发〔1997〕54号）和《财政部 国家税务总局关于外籍个人取得港澳地区住房等补贴征免个人所得税的通知》（财税〔2004〕29号）规定，享受住房补贴、语言训练费、子女教育</w:t>
      </w:r>
      <w:proofErr w:type="gramStart"/>
      <w:r w:rsidRPr="00EB313F">
        <w:rPr>
          <w:rFonts w:ascii="微软雅黑" w:eastAsia="微软雅黑" w:hAnsi="微软雅黑" w:cs="宋体" w:hint="eastAsia"/>
          <w:color w:val="333333"/>
          <w:kern w:val="0"/>
          <w:sz w:val="24"/>
          <w:szCs w:val="24"/>
        </w:rPr>
        <w:t>费等津补贴</w:t>
      </w:r>
      <w:proofErr w:type="gramEnd"/>
      <w:r w:rsidRPr="00EB313F">
        <w:rPr>
          <w:rFonts w:ascii="微软雅黑" w:eastAsia="微软雅黑" w:hAnsi="微软雅黑" w:cs="宋体" w:hint="eastAsia"/>
          <w:color w:val="333333"/>
          <w:kern w:val="0"/>
          <w:sz w:val="24"/>
          <w:szCs w:val="24"/>
        </w:rPr>
        <w:t>免税优惠政策，但不得同时享受。外籍个人一经选择，在一个纳税年度内不得变更。</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（二）自2022年1月1日起，外籍个人不再享受住房补贴、语言训练费、子女教育费津补贴免税优惠政策，应按规定享受专项附加扣除。</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w:t>
      </w:r>
      <w:r w:rsidRPr="00EB313F">
        <w:rPr>
          <w:rFonts w:ascii="微软雅黑" w:eastAsia="微软雅黑" w:hAnsi="微软雅黑" w:cs="宋体" w:hint="eastAsia"/>
          <w:b/>
          <w:bCs/>
          <w:color w:val="333333"/>
          <w:kern w:val="0"/>
          <w:sz w:val="24"/>
          <w:szCs w:val="24"/>
        </w:rPr>
        <w:t>八、除上述衔接事项外，其他个人所得税优惠政策继续按照原文件规定执行。</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w:t>
      </w:r>
      <w:r w:rsidRPr="00EB313F">
        <w:rPr>
          <w:rFonts w:ascii="微软雅黑" w:eastAsia="微软雅黑" w:hAnsi="微软雅黑" w:cs="宋体" w:hint="eastAsia"/>
          <w:b/>
          <w:bCs/>
          <w:color w:val="333333"/>
          <w:kern w:val="0"/>
          <w:sz w:val="24"/>
          <w:szCs w:val="24"/>
        </w:rPr>
        <w:t>九、本通知自2019年1月1日起执行。</w:t>
      </w:r>
      <w:r w:rsidRPr="00EB313F">
        <w:rPr>
          <w:rFonts w:ascii="微软雅黑" w:eastAsia="微软雅黑" w:hAnsi="微软雅黑" w:cs="宋体" w:hint="eastAsia"/>
          <w:color w:val="333333"/>
          <w:kern w:val="0"/>
          <w:sz w:val="24"/>
          <w:szCs w:val="24"/>
        </w:rPr>
        <w:t>下列文件或文件条款同时废止：</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（一）《财政部 国家税务总局关于个人与用人单位解除劳动关系取得的一次性补偿收入征免个人所得税问题的通知》（财税〔2001〕157号）第一条；</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（二）《财政部 国家税务总局关于个人股票期权所得征收个人所得税问题的通知》（财税〔2005〕35号）第四条第（一）项；</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（三）《财政部 国家税务总局关于单位低价向职工售房有关个人所得税问题的通知》（财税〔2007〕13号）第三条；</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lastRenderedPageBreak/>
        <w:t xml:space="preserve">　　（四）《财政部 人力资源社会保障部 国家税务总局关于企业年金职业年金个人所得税有关问题的通知》（财税〔2013〕103号）第三条第1项和第3项；</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（五）《国家税务总局关于个人认购股票等有价证券而从雇主取得折扣或补贴收入有关征收个人所得税问题的通知》（国税发〔1998〕9号）；</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（六）《国家税务总局关于保险企业营销员（非雇员）取得的收入计征个人所得税问题的通知》（国税发〔1998〕13号）；</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（七）《国家税务总局关于个人因解除劳动合同取得经济补偿金征收个人所得税问题的通知》（国税发〔1999〕178号）；</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（八）《国家税务总局关于国有企业职工因解除劳动合同取得一次性补偿收入征免个人所得税问题的通知》（国税发〔2000〕77号）；</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（九）《国家税务总局关于调整个人取得全年一次性奖金等计算征收个人所得税方法问题的通知》（国税发〔2005〕9号）第二条；</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（十）《国家税务总局关于保险营销员取得佣金收入征免个人所得税问题的通知》（国税函〔2006〕454号）；</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（十一）《国家税务总局关于个人股票期权所得缴纳个人所得税有关问题的补充通知》（国税函〔2006〕902号）第七条、第八条；</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（十二）《国家税务总局关于中央企业负责人年度绩效薪金延期兑现收入和任期奖励征收个人所得税问题的通知》（国税发〔2007〕118号）第一条；</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（十三）《国家税务总局关于个人提前退休取得补贴收入个人所得税问题的公告》（国家税务总局公告2011年第6号）第二条；</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lastRenderedPageBreak/>
        <w:t xml:space="preserve">　　（十四）《国家税务总局关于证券经纪人佣金收入征收个人所得税问题的公告》（国家税务总局公告2012年第45号）。</w:t>
      </w:r>
    </w:p>
    <w:p w:rsidR="00EB313F" w:rsidRPr="00EB313F" w:rsidRDefault="00EB313F" w:rsidP="00EB313F">
      <w:pPr>
        <w:widowControl/>
        <w:shd w:val="clear" w:color="auto" w:fill="FFFFFF"/>
        <w:spacing w:line="540" w:lineRule="atLeast"/>
        <w:jc w:val="lef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附件：</w:t>
      </w:r>
      <w:hyperlink r:id="rId7" w:tgtFrame="_blank" w:history="1">
        <w:r w:rsidRPr="00EB313F">
          <w:rPr>
            <w:rFonts w:ascii="微软雅黑" w:eastAsia="微软雅黑" w:hAnsi="微软雅黑" w:cs="宋体" w:hint="eastAsia"/>
            <w:color w:val="0000FF"/>
            <w:kern w:val="0"/>
            <w:sz w:val="24"/>
            <w:szCs w:val="24"/>
          </w:rPr>
          <w:t>按月换算后的</w:t>
        </w:r>
        <w:proofErr w:type="gramStart"/>
        <w:r w:rsidRPr="00EB313F">
          <w:rPr>
            <w:rFonts w:ascii="微软雅黑" w:eastAsia="微软雅黑" w:hAnsi="微软雅黑" w:cs="宋体" w:hint="eastAsia"/>
            <w:color w:val="0000FF"/>
            <w:kern w:val="0"/>
            <w:sz w:val="24"/>
            <w:szCs w:val="24"/>
          </w:rPr>
          <w:t>综合所得税率表</w:t>
        </w:r>
        <w:proofErr w:type="gramEnd"/>
      </w:hyperlink>
    </w:p>
    <w:p w:rsidR="00EB313F" w:rsidRPr="00EB313F" w:rsidRDefault="00EB313F" w:rsidP="00EB313F">
      <w:pPr>
        <w:widowControl/>
        <w:shd w:val="clear" w:color="auto" w:fill="FFFFFF"/>
        <w:spacing w:line="540" w:lineRule="atLeast"/>
        <w:jc w:val="righ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财政部 税务总局</w:t>
      </w:r>
    </w:p>
    <w:p w:rsidR="00EB313F" w:rsidRDefault="00EB313F" w:rsidP="00EB313F">
      <w:pPr>
        <w:widowControl/>
        <w:shd w:val="clear" w:color="auto" w:fill="FFFFFF"/>
        <w:spacing w:line="540" w:lineRule="atLeast"/>
        <w:jc w:val="right"/>
        <w:rPr>
          <w:rFonts w:ascii="微软雅黑" w:eastAsia="微软雅黑" w:hAnsi="微软雅黑" w:cs="宋体"/>
          <w:color w:val="333333"/>
          <w:kern w:val="0"/>
          <w:sz w:val="24"/>
          <w:szCs w:val="24"/>
        </w:rPr>
      </w:pPr>
      <w:r w:rsidRPr="00EB313F">
        <w:rPr>
          <w:rFonts w:ascii="微软雅黑" w:eastAsia="微软雅黑" w:hAnsi="微软雅黑" w:cs="宋体" w:hint="eastAsia"/>
          <w:color w:val="333333"/>
          <w:kern w:val="0"/>
          <w:sz w:val="24"/>
          <w:szCs w:val="24"/>
        </w:rPr>
        <w:t xml:space="preserve">　　 </w:t>
      </w:r>
      <w:r w:rsidR="0083125C">
        <w:rPr>
          <w:rFonts w:ascii="微软雅黑" w:eastAsia="微软雅黑" w:hAnsi="微软雅黑" w:cs="宋体"/>
          <w:color w:val="333333"/>
          <w:kern w:val="0"/>
          <w:sz w:val="24"/>
          <w:szCs w:val="24"/>
        </w:rPr>
        <w:t xml:space="preserve"> </w:t>
      </w:r>
      <w:r w:rsidRPr="00EB313F">
        <w:rPr>
          <w:rFonts w:ascii="微软雅黑" w:eastAsia="微软雅黑" w:hAnsi="微软雅黑" w:cs="宋体" w:hint="eastAsia"/>
          <w:color w:val="333333"/>
          <w:kern w:val="0"/>
          <w:sz w:val="24"/>
          <w:szCs w:val="24"/>
        </w:rPr>
        <w:t>2018年12月27日</w:t>
      </w:r>
    </w:p>
    <w:p w:rsidR="00C44ADC" w:rsidRDefault="00C44ADC" w:rsidP="00EB313F">
      <w:pPr>
        <w:widowControl/>
        <w:shd w:val="clear" w:color="auto" w:fill="FFFFFF"/>
        <w:spacing w:line="540" w:lineRule="atLeast"/>
        <w:jc w:val="right"/>
        <w:rPr>
          <w:rFonts w:ascii="微软雅黑" w:eastAsia="微软雅黑" w:hAnsi="微软雅黑" w:cs="宋体"/>
          <w:color w:val="333333"/>
          <w:kern w:val="0"/>
          <w:sz w:val="24"/>
          <w:szCs w:val="24"/>
        </w:rPr>
      </w:pPr>
    </w:p>
    <w:p w:rsidR="00C44ADC" w:rsidRDefault="00C44ADC" w:rsidP="00EB313F">
      <w:pPr>
        <w:widowControl/>
        <w:shd w:val="clear" w:color="auto" w:fill="FFFFFF"/>
        <w:spacing w:line="540" w:lineRule="atLeast"/>
        <w:jc w:val="right"/>
        <w:rPr>
          <w:rFonts w:ascii="微软雅黑" w:eastAsia="微软雅黑" w:hAnsi="微软雅黑" w:cs="宋体"/>
          <w:color w:val="333333"/>
          <w:kern w:val="0"/>
          <w:sz w:val="24"/>
          <w:szCs w:val="24"/>
        </w:rPr>
      </w:pPr>
    </w:p>
    <w:p w:rsidR="00C44ADC" w:rsidRPr="00EB313F" w:rsidRDefault="00C44ADC" w:rsidP="00C44ADC">
      <w:pPr>
        <w:widowControl/>
        <w:shd w:val="clear" w:color="auto" w:fill="FFFFFF"/>
        <w:spacing w:line="540" w:lineRule="atLeast"/>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附件：</w:t>
      </w:r>
      <w:bookmarkStart w:id="0" w:name="_GoBack"/>
      <w:bookmarkEnd w:id="0"/>
    </w:p>
    <w:tbl>
      <w:tblPr>
        <w:tblW w:w="8306" w:type="dxa"/>
        <w:jc w:val="center"/>
        <w:tblCellSpacing w:w="0" w:type="dxa"/>
        <w:tblLayout w:type="fixed"/>
        <w:tblCellMar>
          <w:left w:w="0" w:type="dxa"/>
          <w:right w:w="0" w:type="dxa"/>
        </w:tblCellMar>
        <w:tblLook w:val="04A0" w:firstRow="1" w:lastRow="0" w:firstColumn="1" w:lastColumn="0" w:noHBand="0" w:noVBand="1"/>
      </w:tblPr>
      <w:tblGrid>
        <w:gridCol w:w="914"/>
        <w:gridCol w:w="7392"/>
      </w:tblGrid>
      <w:tr w:rsidR="00C44ADC" w:rsidRPr="00C44ADC" w:rsidTr="003D1730">
        <w:trPr>
          <w:tblCellSpacing w:w="0" w:type="dxa"/>
          <w:jc w:val="center"/>
        </w:trPr>
        <w:tc>
          <w:tcPr>
            <w:tcW w:w="8306" w:type="dxa"/>
            <w:gridSpan w:val="2"/>
            <w:shd w:val="clear" w:color="auto" w:fill="auto"/>
            <w:vAlign w:val="center"/>
          </w:tcPr>
          <w:p w:rsidR="00C44ADC" w:rsidRPr="00C44ADC" w:rsidRDefault="00C44ADC" w:rsidP="00C44ADC">
            <w:pPr>
              <w:widowControl/>
              <w:spacing w:beforeAutospacing="1" w:afterAutospacing="1" w:line="432" w:lineRule="auto"/>
              <w:jc w:val="center"/>
              <w:rPr>
                <w:rFonts w:ascii="Calibri" w:eastAsia="宋体" w:hAnsi="Calibri" w:cs="Times New Roman"/>
                <w:kern w:val="0"/>
                <w:sz w:val="24"/>
                <w:szCs w:val="24"/>
              </w:rPr>
            </w:pPr>
            <w:r w:rsidRPr="00C44ADC">
              <w:rPr>
                <w:rFonts w:ascii="宋体" w:eastAsia="宋体" w:hAnsi="宋体" w:cs="宋体" w:hint="eastAsia"/>
                <w:kern w:val="0"/>
                <w:sz w:val="24"/>
                <w:szCs w:val="24"/>
              </w:rPr>
              <w:t>按月换算后的综合所得税率表</w:t>
            </w:r>
          </w:p>
          <w:tbl>
            <w:tblPr>
              <w:tblW w:w="8300" w:type="dxa"/>
              <w:tblInd w:w="1"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1054"/>
              <w:gridCol w:w="3910"/>
              <w:gridCol w:w="1504"/>
              <w:gridCol w:w="1832"/>
            </w:tblGrid>
            <w:tr w:rsidR="00C44ADC" w:rsidRPr="00C44ADC" w:rsidTr="003D1730">
              <w:trPr>
                <w:trHeight w:val="785"/>
              </w:trPr>
              <w:tc>
                <w:tcPr>
                  <w:tcW w:w="105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级数</w:t>
                  </w:r>
                </w:p>
              </w:tc>
              <w:tc>
                <w:tcPr>
                  <w:tcW w:w="3910"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全月应纳税所得额</w:t>
                  </w:r>
                </w:p>
              </w:tc>
              <w:tc>
                <w:tcPr>
                  <w:tcW w:w="150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税率（%）</w:t>
                  </w:r>
                </w:p>
              </w:tc>
              <w:tc>
                <w:tcPr>
                  <w:tcW w:w="1832"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速算扣除数</w:t>
                  </w:r>
                </w:p>
              </w:tc>
            </w:tr>
            <w:tr w:rsidR="00C44ADC" w:rsidRPr="00C44ADC" w:rsidTr="003D1730">
              <w:trPr>
                <w:trHeight w:val="785"/>
              </w:trPr>
              <w:tc>
                <w:tcPr>
                  <w:tcW w:w="105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1</w:t>
                  </w:r>
                </w:p>
              </w:tc>
              <w:tc>
                <w:tcPr>
                  <w:tcW w:w="3910"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不超过3000元的</w:t>
                  </w:r>
                </w:p>
              </w:tc>
              <w:tc>
                <w:tcPr>
                  <w:tcW w:w="150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3</w:t>
                  </w:r>
                </w:p>
              </w:tc>
              <w:tc>
                <w:tcPr>
                  <w:tcW w:w="1832"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0</w:t>
                  </w:r>
                </w:p>
              </w:tc>
            </w:tr>
            <w:tr w:rsidR="00C44ADC" w:rsidRPr="00C44ADC" w:rsidTr="003D1730">
              <w:trPr>
                <w:trHeight w:val="785"/>
              </w:trPr>
              <w:tc>
                <w:tcPr>
                  <w:tcW w:w="105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2</w:t>
                  </w:r>
                </w:p>
              </w:tc>
              <w:tc>
                <w:tcPr>
                  <w:tcW w:w="3910"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超过3000元至12000元的部分</w:t>
                  </w:r>
                </w:p>
              </w:tc>
              <w:tc>
                <w:tcPr>
                  <w:tcW w:w="150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10</w:t>
                  </w:r>
                </w:p>
              </w:tc>
              <w:tc>
                <w:tcPr>
                  <w:tcW w:w="1832"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210</w:t>
                  </w:r>
                </w:p>
              </w:tc>
            </w:tr>
            <w:tr w:rsidR="00C44ADC" w:rsidRPr="00C44ADC" w:rsidTr="003D1730">
              <w:trPr>
                <w:trHeight w:val="785"/>
              </w:trPr>
              <w:tc>
                <w:tcPr>
                  <w:tcW w:w="105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3</w:t>
                  </w:r>
                </w:p>
              </w:tc>
              <w:tc>
                <w:tcPr>
                  <w:tcW w:w="3910"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超过12000元至25000元的部分</w:t>
                  </w:r>
                </w:p>
              </w:tc>
              <w:tc>
                <w:tcPr>
                  <w:tcW w:w="150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20</w:t>
                  </w:r>
                </w:p>
              </w:tc>
              <w:tc>
                <w:tcPr>
                  <w:tcW w:w="1832"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1410</w:t>
                  </w:r>
                </w:p>
              </w:tc>
            </w:tr>
            <w:tr w:rsidR="00C44ADC" w:rsidRPr="00C44ADC" w:rsidTr="003D1730">
              <w:trPr>
                <w:trHeight w:val="785"/>
              </w:trPr>
              <w:tc>
                <w:tcPr>
                  <w:tcW w:w="105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4</w:t>
                  </w:r>
                </w:p>
              </w:tc>
              <w:tc>
                <w:tcPr>
                  <w:tcW w:w="3910"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超过25000元至35000元的部分</w:t>
                  </w:r>
                </w:p>
              </w:tc>
              <w:tc>
                <w:tcPr>
                  <w:tcW w:w="150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25</w:t>
                  </w:r>
                </w:p>
              </w:tc>
              <w:tc>
                <w:tcPr>
                  <w:tcW w:w="1832"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2660</w:t>
                  </w:r>
                </w:p>
              </w:tc>
            </w:tr>
            <w:tr w:rsidR="00C44ADC" w:rsidRPr="00C44ADC" w:rsidTr="003D1730">
              <w:trPr>
                <w:trHeight w:val="785"/>
              </w:trPr>
              <w:tc>
                <w:tcPr>
                  <w:tcW w:w="105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5</w:t>
                  </w:r>
                </w:p>
              </w:tc>
              <w:tc>
                <w:tcPr>
                  <w:tcW w:w="3910"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超过35000元至55000元的部分</w:t>
                  </w:r>
                </w:p>
              </w:tc>
              <w:tc>
                <w:tcPr>
                  <w:tcW w:w="150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30</w:t>
                  </w:r>
                </w:p>
              </w:tc>
              <w:tc>
                <w:tcPr>
                  <w:tcW w:w="1832"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4410</w:t>
                  </w:r>
                </w:p>
              </w:tc>
            </w:tr>
            <w:tr w:rsidR="00C44ADC" w:rsidRPr="00C44ADC" w:rsidTr="003D1730">
              <w:trPr>
                <w:trHeight w:val="785"/>
              </w:trPr>
              <w:tc>
                <w:tcPr>
                  <w:tcW w:w="105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6</w:t>
                  </w:r>
                </w:p>
              </w:tc>
              <w:tc>
                <w:tcPr>
                  <w:tcW w:w="3910"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超过55000元至80000元的部分</w:t>
                  </w:r>
                </w:p>
              </w:tc>
              <w:tc>
                <w:tcPr>
                  <w:tcW w:w="150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35</w:t>
                  </w:r>
                </w:p>
              </w:tc>
              <w:tc>
                <w:tcPr>
                  <w:tcW w:w="1832"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7160</w:t>
                  </w:r>
                </w:p>
              </w:tc>
            </w:tr>
            <w:tr w:rsidR="00C44ADC" w:rsidRPr="00C44ADC" w:rsidTr="003D1730">
              <w:trPr>
                <w:trHeight w:val="803"/>
              </w:trPr>
              <w:tc>
                <w:tcPr>
                  <w:tcW w:w="105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7</w:t>
                  </w:r>
                </w:p>
              </w:tc>
              <w:tc>
                <w:tcPr>
                  <w:tcW w:w="3910"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超过80000元的部分</w:t>
                  </w:r>
                </w:p>
              </w:tc>
              <w:tc>
                <w:tcPr>
                  <w:tcW w:w="1504"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45</w:t>
                  </w:r>
                </w:p>
              </w:tc>
              <w:tc>
                <w:tcPr>
                  <w:tcW w:w="1832" w:type="dxa"/>
                  <w:tcBorders>
                    <w:top w:val="outset" w:sz="6" w:space="0" w:color="000000"/>
                    <w:left w:val="outset" w:sz="6" w:space="0" w:color="000000"/>
                    <w:bottom w:val="outset" w:sz="6" w:space="0" w:color="000000"/>
                    <w:right w:val="outset" w:sz="6" w:space="0" w:color="000000"/>
                  </w:tcBorders>
                  <w:shd w:val="clear" w:color="auto" w:fill="auto"/>
                </w:tcPr>
                <w:p w:rsidR="00C44ADC" w:rsidRPr="00C44ADC" w:rsidRDefault="00C44ADC" w:rsidP="00C44ADC">
                  <w:pPr>
                    <w:widowControl/>
                    <w:spacing w:beforeAutospacing="1" w:afterAutospacing="1" w:line="432" w:lineRule="auto"/>
                    <w:rPr>
                      <w:rFonts w:ascii="Calibri" w:eastAsia="宋体" w:hAnsi="Calibri" w:cs="Times New Roman"/>
                      <w:kern w:val="0"/>
                      <w:sz w:val="24"/>
                      <w:szCs w:val="24"/>
                    </w:rPr>
                  </w:pPr>
                  <w:r w:rsidRPr="00C44ADC">
                    <w:rPr>
                      <w:rFonts w:ascii="宋体" w:eastAsia="宋体" w:hAnsi="宋体" w:cs="宋体" w:hint="eastAsia"/>
                      <w:kern w:val="0"/>
                      <w:sz w:val="18"/>
                      <w:szCs w:val="18"/>
                    </w:rPr>
                    <w:t>15160</w:t>
                  </w:r>
                </w:p>
              </w:tc>
            </w:tr>
          </w:tbl>
          <w:p w:rsidR="00C44ADC" w:rsidRPr="00C44ADC" w:rsidRDefault="00C44ADC" w:rsidP="00C44ADC">
            <w:pPr>
              <w:jc w:val="left"/>
              <w:rPr>
                <w:rFonts w:ascii="宋体" w:eastAsia="宋体" w:hAnsi="宋体" w:cs="宋体"/>
                <w:sz w:val="24"/>
                <w:szCs w:val="24"/>
              </w:rPr>
            </w:pPr>
          </w:p>
        </w:tc>
      </w:tr>
      <w:tr w:rsidR="00C44ADC" w:rsidRPr="00C44ADC" w:rsidTr="003D1730">
        <w:trPr>
          <w:tblCellSpacing w:w="0" w:type="dxa"/>
          <w:jc w:val="center"/>
          <w:hidden/>
        </w:trPr>
        <w:tc>
          <w:tcPr>
            <w:tcW w:w="914" w:type="dxa"/>
            <w:shd w:val="clear" w:color="auto" w:fill="auto"/>
          </w:tcPr>
          <w:p w:rsidR="00C44ADC" w:rsidRPr="00C44ADC" w:rsidRDefault="00C44ADC" w:rsidP="00C44ADC">
            <w:pPr>
              <w:widowControl/>
              <w:spacing w:line="432" w:lineRule="auto"/>
              <w:jc w:val="left"/>
              <w:rPr>
                <w:rFonts w:ascii="宋体" w:eastAsia="宋体" w:hAnsi="宋体" w:cs="宋体"/>
                <w:vanish/>
                <w:sz w:val="24"/>
                <w:szCs w:val="24"/>
              </w:rPr>
            </w:pPr>
            <w:r w:rsidRPr="00C44ADC">
              <w:rPr>
                <w:rFonts w:ascii="宋体" w:eastAsia="宋体" w:hAnsi="宋体" w:cs="宋体" w:hint="eastAsia"/>
                <w:vanish/>
                <w:kern w:val="0"/>
                <w:sz w:val="24"/>
                <w:szCs w:val="24"/>
                <w:lang w:bidi="ar"/>
              </w:rPr>
              <w:t xml:space="preserve">  </w:t>
            </w:r>
          </w:p>
          <w:p w:rsidR="00C44ADC" w:rsidRPr="00C44ADC" w:rsidRDefault="00C44ADC" w:rsidP="00C44ADC">
            <w:pPr>
              <w:widowControl/>
              <w:spacing w:beforeAutospacing="1" w:afterAutospacing="1" w:line="432" w:lineRule="auto"/>
              <w:jc w:val="left"/>
              <w:rPr>
                <w:rFonts w:ascii="Calibri" w:eastAsia="宋体" w:hAnsi="Calibri" w:cs="Times New Roman"/>
                <w:vanish/>
                <w:kern w:val="0"/>
                <w:sz w:val="24"/>
                <w:szCs w:val="24"/>
              </w:rPr>
            </w:pPr>
            <w:r w:rsidRPr="00C44ADC">
              <w:rPr>
                <w:rFonts w:ascii="宋体" w:eastAsia="宋体" w:hAnsi="宋体" w:cs="宋体" w:hint="eastAsia"/>
                <w:vanish/>
                <w:kern w:val="0"/>
                <w:sz w:val="24"/>
                <w:szCs w:val="24"/>
              </w:rPr>
              <w:t>附件下载:</w:t>
            </w:r>
          </w:p>
        </w:tc>
        <w:tc>
          <w:tcPr>
            <w:tcW w:w="7392" w:type="dxa"/>
            <w:shd w:val="clear" w:color="auto" w:fill="auto"/>
          </w:tcPr>
          <w:p w:rsidR="00C44ADC" w:rsidRPr="00C44ADC" w:rsidRDefault="00C44ADC" w:rsidP="00C44ADC">
            <w:pPr>
              <w:widowControl/>
              <w:spacing w:line="432" w:lineRule="auto"/>
              <w:jc w:val="left"/>
              <w:rPr>
                <w:rFonts w:ascii="宋体" w:eastAsia="宋体" w:hAnsi="宋体" w:cs="宋体"/>
                <w:vanish/>
                <w:sz w:val="24"/>
                <w:szCs w:val="24"/>
              </w:rPr>
            </w:pPr>
            <w:r w:rsidRPr="00C44ADC">
              <w:rPr>
                <w:rFonts w:ascii="宋体" w:eastAsia="宋体" w:hAnsi="宋体" w:cs="宋体" w:hint="eastAsia"/>
                <w:vanish/>
                <w:kern w:val="0"/>
                <w:sz w:val="24"/>
                <w:szCs w:val="24"/>
                <w:lang w:bidi="ar"/>
              </w:rPr>
              <w:t xml:space="preserve">  </w:t>
            </w:r>
          </w:p>
        </w:tc>
      </w:tr>
    </w:tbl>
    <w:p w:rsidR="00C44ADC" w:rsidRPr="00C44ADC" w:rsidRDefault="00C44ADC" w:rsidP="00C44ADC">
      <w:pPr>
        <w:rPr>
          <w:rFonts w:ascii="Calibri" w:eastAsia="宋体" w:hAnsi="Calibri" w:cs="Times New Roman"/>
          <w:szCs w:val="24"/>
        </w:rPr>
      </w:pPr>
    </w:p>
    <w:p w:rsidR="00184E35" w:rsidRDefault="00184E35"/>
    <w:sectPr w:rsidR="00184E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04C" w:rsidRDefault="00DF704C" w:rsidP="00C44ADC">
      <w:r>
        <w:separator/>
      </w:r>
    </w:p>
  </w:endnote>
  <w:endnote w:type="continuationSeparator" w:id="0">
    <w:p w:rsidR="00DF704C" w:rsidRDefault="00DF704C" w:rsidP="00C4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04C" w:rsidRDefault="00DF704C" w:rsidP="00C44ADC">
      <w:r>
        <w:separator/>
      </w:r>
    </w:p>
  </w:footnote>
  <w:footnote w:type="continuationSeparator" w:id="0">
    <w:p w:rsidR="00DF704C" w:rsidRDefault="00DF704C" w:rsidP="00C44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3F"/>
    <w:rsid w:val="00184E35"/>
    <w:rsid w:val="0083125C"/>
    <w:rsid w:val="00C44ADC"/>
    <w:rsid w:val="00D867BD"/>
    <w:rsid w:val="00DF704C"/>
    <w:rsid w:val="00EB3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270743-785C-43B4-91B2-3045A447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4A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4ADC"/>
    <w:rPr>
      <w:sz w:val="18"/>
      <w:szCs w:val="18"/>
    </w:rPr>
  </w:style>
  <w:style w:type="paragraph" w:styleId="a4">
    <w:name w:val="footer"/>
    <w:basedOn w:val="a"/>
    <w:link w:val="Char0"/>
    <w:uiPriority w:val="99"/>
    <w:unhideWhenUsed/>
    <w:rsid w:val="00C44ADC"/>
    <w:pPr>
      <w:tabs>
        <w:tab w:val="center" w:pos="4153"/>
        <w:tab w:val="right" w:pos="8306"/>
      </w:tabs>
      <w:snapToGrid w:val="0"/>
      <w:jc w:val="left"/>
    </w:pPr>
    <w:rPr>
      <w:sz w:val="18"/>
      <w:szCs w:val="18"/>
    </w:rPr>
  </w:style>
  <w:style w:type="character" w:customStyle="1" w:styleId="Char0">
    <w:name w:val="页脚 Char"/>
    <w:basedOn w:val="a0"/>
    <w:link w:val="a4"/>
    <w:uiPriority w:val="99"/>
    <w:rsid w:val="00C44ADC"/>
    <w:rPr>
      <w:sz w:val="18"/>
      <w:szCs w:val="18"/>
    </w:rPr>
  </w:style>
  <w:style w:type="paragraph" w:styleId="a5">
    <w:name w:val="Date"/>
    <w:basedOn w:val="a"/>
    <w:next w:val="a"/>
    <w:link w:val="Char1"/>
    <w:uiPriority w:val="99"/>
    <w:semiHidden/>
    <w:unhideWhenUsed/>
    <w:rsid w:val="00C44ADC"/>
    <w:pPr>
      <w:ind w:leftChars="2500" w:left="100"/>
    </w:pPr>
  </w:style>
  <w:style w:type="character" w:customStyle="1" w:styleId="Char1">
    <w:name w:val="日期 Char"/>
    <w:basedOn w:val="a0"/>
    <w:link w:val="a5"/>
    <w:uiPriority w:val="99"/>
    <w:semiHidden/>
    <w:rsid w:val="00C4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69269">
      <w:bodyDiv w:val="1"/>
      <w:marLeft w:val="0"/>
      <w:marRight w:val="0"/>
      <w:marTop w:val="0"/>
      <w:marBottom w:val="0"/>
      <w:divBdr>
        <w:top w:val="none" w:sz="0" w:space="0" w:color="auto"/>
        <w:left w:val="none" w:sz="0" w:space="0" w:color="auto"/>
        <w:bottom w:val="none" w:sz="0" w:space="0" w:color="auto"/>
        <w:right w:val="none" w:sz="0" w:space="0" w:color="auto"/>
      </w:divBdr>
      <w:divsChild>
        <w:div w:id="1659068758">
          <w:marLeft w:val="0"/>
          <w:marRight w:val="0"/>
          <w:marTop w:val="100"/>
          <w:marBottom w:val="100"/>
          <w:divBdr>
            <w:top w:val="none" w:sz="0" w:space="0" w:color="auto"/>
            <w:left w:val="none" w:sz="0" w:space="0" w:color="auto"/>
            <w:bottom w:val="none" w:sz="0" w:space="0" w:color="auto"/>
            <w:right w:val="none" w:sz="0" w:space="0" w:color="auto"/>
          </w:divBdr>
          <w:divsChild>
            <w:div w:id="336613377">
              <w:marLeft w:val="0"/>
              <w:marRight w:val="0"/>
              <w:marTop w:val="0"/>
              <w:marBottom w:val="0"/>
              <w:divBdr>
                <w:top w:val="single" w:sz="6" w:space="0" w:color="DEDCD8"/>
                <w:left w:val="single" w:sz="6" w:space="0" w:color="DEDCD8"/>
                <w:bottom w:val="single" w:sz="6" w:space="0" w:color="DEDCD8"/>
                <w:right w:val="single" w:sz="6" w:space="0" w:color="DEDCD8"/>
              </w:divBdr>
              <w:divsChild>
                <w:div w:id="423956757">
                  <w:marLeft w:val="0"/>
                  <w:marRight w:val="0"/>
                  <w:marTop w:val="0"/>
                  <w:marBottom w:val="0"/>
                  <w:divBdr>
                    <w:top w:val="none" w:sz="0" w:space="0" w:color="auto"/>
                    <w:left w:val="none" w:sz="0" w:space="0" w:color="auto"/>
                    <w:bottom w:val="none" w:sz="0" w:space="0" w:color="auto"/>
                    <w:right w:val="none" w:sz="0" w:space="0" w:color="auto"/>
                  </w:divBdr>
                </w:div>
                <w:div w:id="1806895367">
                  <w:marLeft w:val="0"/>
                  <w:marRight w:val="0"/>
                  <w:marTop w:val="0"/>
                  <w:marBottom w:val="0"/>
                  <w:divBdr>
                    <w:top w:val="none" w:sz="0" w:space="0" w:color="auto"/>
                    <w:left w:val="none" w:sz="0" w:space="0" w:color="auto"/>
                    <w:bottom w:val="none" w:sz="0" w:space="0" w:color="auto"/>
                    <w:right w:val="none" w:sz="0" w:space="0" w:color="auto"/>
                  </w:divBdr>
                </w:div>
                <w:div w:id="10310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tax.gov.cn/chinatax/n363/c21603684/5109887/files/82484ada09274ba088daf353a8e16b75.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2020-06-09T00:33:00Z</dcterms:created>
  <dcterms:modified xsi:type="dcterms:W3CDTF">2020-06-09T00:55:00Z</dcterms:modified>
</cp:coreProperties>
</file>