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E5" w:rsidRDefault="00F421E5" w:rsidP="00F421E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 w:rsidRPr="00F421E5">
        <w:rPr>
          <w:rFonts w:ascii="微软雅黑" w:eastAsia="微软雅黑" w:hAnsi="微软雅黑" w:cs="宋体"/>
          <w:b/>
          <w:noProof/>
          <w:color w:val="333333"/>
          <w:kern w:val="0"/>
          <w:sz w:val="32"/>
          <w:szCs w:val="32"/>
        </w:rPr>
        <w:drawing>
          <wp:inline distT="0" distB="0" distL="0" distR="0">
            <wp:extent cx="5698490" cy="3523562"/>
            <wp:effectExtent l="0" t="0" r="0" b="1270"/>
            <wp:docPr id="1" name="图片 1" descr="C:\Users\HP\Desktop\QQ截图20200609083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Q截图202006090831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207" cy="353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1E5" w:rsidRDefault="00FA79F2" w:rsidP="00F421E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 w:rsidRPr="00F421E5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国家税务总局关于全面实施新个人所得税法</w:t>
      </w:r>
    </w:p>
    <w:p w:rsidR="00F421E5" w:rsidRPr="00F421E5" w:rsidRDefault="00FA79F2" w:rsidP="00F421E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 w:rsidRPr="00F421E5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若干征管衔接问题的公告</w:t>
      </w:r>
    </w:p>
    <w:p w:rsidR="00FA79F2" w:rsidRPr="00FA79F2" w:rsidRDefault="00FA79F2" w:rsidP="00F421E5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79F2">
        <w:rPr>
          <w:rFonts w:ascii="微软雅黑" w:eastAsia="微软雅黑" w:hAnsi="微软雅黑" w:cs="宋体" w:hint="eastAsia"/>
          <w:color w:val="DF0000"/>
          <w:kern w:val="0"/>
          <w:sz w:val="24"/>
          <w:szCs w:val="24"/>
        </w:rPr>
        <w:t>国家税务总局公告2018年第56号</w:t>
      </w:r>
    </w:p>
    <w:p w:rsidR="00FA79F2" w:rsidRPr="00FA79F2" w:rsidRDefault="00FA79F2" w:rsidP="00FA79F2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为贯彻落实新修改的《中华人民共和国个人所得税法》（以下简称“新个人所得税法”），现就全面实施新个人所得税法后扣缴义务人对居民个人工资、薪金所得，劳务报酬所得，稿酬所得，特许权使用费所得预扣预缴个人所得税的计算方法，对非居民个人上述四项所得扣缴个人所得税的计算方法，公告如下：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</w:t>
      </w:r>
      <w:r w:rsidRPr="00FA79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一、居民个人预扣预缴方法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扣缴义务人向居民个人支付工资、薪金所得，劳务报酬所得，稿酬所得，特许权使用费所得时，按以下方法预扣预缴个人所得税，并向主管税务机关报送《个人所得税扣缴申报表》（见附件1）。年度</w:t>
      </w:r>
      <w:proofErr w:type="gramStart"/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预扣预缴税</w:t>
      </w:r>
      <w:proofErr w:type="gramEnd"/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额与年度应纳税额不一致的，由居民个人于次年3月1日至6月30日向主管税务机关办理综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合所得年度汇算清缴，税款多退少补。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（一）扣缴义务人向居民个人支付工资、薪金所得时，应当按照累计预扣法计算预扣税款，并按月办理全员全额扣缴申报。具体计算公式如下：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本期应预扣预缴税额=（累计预扣预缴应纳税所得额×预扣率-速算扣除数)-累计减免税额-累计已预扣预缴税额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累计预扣预缴应纳税所得额=累计收入-累计免税收入-累计减除费用-累计专项扣除-累计专项附加扣除-累计依法确定的其他扣除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其中：累计减除费用，按照5000元/月乘以纳税人当年截至本月在本单位的任职受雇月份数计算。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上述公式中，计算居民个人工资、薪金所得预扣预缴税额的预扣率、速算扣除数，按《个人所得税预扣率表一》(见附件2）执行。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（二）扣缴义务人向居民个人支付劳务报酬所得、稿酬所得、特许权使用费所得，按次或者按月预扣预缴个人所得税。具体预扣预缴方法如下：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劳务报酬所得、稿酬所得、特许权使用费所得以收入减除费用后的余额为收入额。其中，稿酬所得的收入额减按百分之七十计算。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减除费用：劳务报酬所得、稿酬所得、特许权使用费所得每次收入不超过四千元的，减除费用按八百元计算；每次收入四千元以上的，减除费用按百分之二十计算。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应纳税所得额：劳务报酬所得、稿酬所得、特许权使用费所得，以每次收入额为预扣预缴应纳税所得额。劳务报酬所得适用百分之二十至百分之四十的超额累进预扣率（见附件2《个人所得税预扣率表二》），稿酬所得、特许权使用费所得适用百分之二十的比例预扣率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劳务报酬所得应预扣预缴税额=预扣预缴应纳税所得额×预扣率-速算扣除数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稿酬所得、特许权使用费所得应预扣预缴税额=预扣预缴应纳税所得额×20%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</w:t>
      </w:r>
      <w:r w:rsidRPr="00FA79F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二、非居民个人扣缴方法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扣缴义务人向非居民个人支付工资、薪金所得，劳务报酬所得，稿酬所得和特许权使用费所得时，应当按以下方法按月或者按次代扣代缴个人所得税：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非居民个人的工资、薪金所得，以每月收入额减除费用五千元后的余额为应纳税所得额；劳务报酬所得、稿酬所得、特许权使用费所得，以每次收入额为应纳税所得额，适用按月换算后的非居民个人月度税率表（见附件2《个人所得税税率表三》）计算应纳税额。其中，劳务报酬所得、稿酬所得、特许权使用费所得以收入减除百分之二十的费用后的余额为收入额。稿酬所得的收入额减按百分之七十计算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非居民个人工资、薪金所得，劳务报酬所得，稿酬所得，特许权使用费所得应纳税额=应纳税所得额×税率-速算扣除数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本公告自2019年1月1日起施行。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特此公告。</w:t>
      </w:r>
    </w:p>
    <w:p w:rsidR="00FA79F2" w:rsidRPr="00FA79F2" w:rsidRDefault="00FA79F2" w:rsidP="00FA79F2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附件：1.</w:t>
      </w:r>
      <w:hyperlink r:id="rId5" w:history="1">
        <w:r w:rsidRPr="00FA79F2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《个人所得税扣缴申报表》及填表说明</w:t>
        </w:r>
      </w:hyperlink>
    </w:p>
    <w:p w:rsidR="00FA79F2" w:rsidRPr="00FA79F2" w:rsidRDefault="00FA79F2" w:rsidP="00FA79F2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　　　2.</w:t>
      </w:r>
      <w:hyperlink r:id="rId6" w:history="1">
        <w:r w:rsidRPr="00FA79F2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个人所得税税率表及预扣率表</w:t>
        </w:r>
      </w:hyperlink>
    </w:p>
    <w:p w:rsidR="00FA79F2" w:rsidRPr="00FA79F2" w:rsidRDefault="00FA79F2" w:rsidP="00FA79F2">
      <w:pPr>
        <w:widowControl/>
        <w:shd w:val="clear" w:color="auto" w:fill="FFFFFF"/>
        <w:spacing w:line="54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国家税务总局</w:t>
      </w:r>
      <w:r w:rsidRPr="00FA79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2018年12月19日</w:t>
      </w:r>
    </w:p>
    <w:p w:rsidR="00590105" w:rsidRDefault="00731A82">
      <w:r>
        <w:rPr>
          <w:rFonts w:ascii="微软雅黑" w:eastAsia="微软雅黑" w:hAnsi="微软雅黑" w:hint="eastAsia"/>
          <w:color w:val="333333"/>
        </w:rPr>
        <w:t>注释：附件1废止。参见《国家税务总局关于修订个人所得税申报表的公告》国家税务总局</w:t>
      </w:r>
      <w:r>
        <w:rPr>
          <w:rFonts w:ascii="微软雅黑" w:eastAsia="微软雅黑" w:hAnsi="微软雅黑" w:hint="eastAsia"/>
          <w:color w:val="333333"/>
        </w:rPr>
        <w:lastRenderedPageBreak/>
        <w:t>公告2019年第7号。</w:t>
      </w:r>
    </w:p>
    <w:sectPr w:rsidR="0059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F2"/>
    <w:rsid w:val="00590105"/>
    <w:rsid w:val="00731A82"/>
    <w:rsid w:val="00F421E5"/>
    <w:rsid w:val="00F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1518E-E8FF-4F65-A074-8005D785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6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7704">
              <w:marLeft w:val="0"/>
              <w:marRight w:val="0"/>
              <w:marTop w:val="0"/>
              <w:marBottom w:val="0"/>
              <w:divBdr>
                <w:top w:val="single" w:sz="6" w:space="0" w:color="DEDCD8"/>
                <w:left w:val="single" w:sz="6" w:space="0" w:color="DEDCD8"/>
                <w:bottom w:val="single" w:sz="6" w:space="0" w:color="DEDCD8"/>
                <w:right w:val="single" w:sz="6" w:space="0" w:color="DEDCD8"/>
              </w:divBdr>
              <w:divsChild>
                <w:div w:id="18514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tax.gov.cn/chinatax/n363/c21603671/5134911/files/6287e53b8a7c4d2084132166b41661de.docx" TargetMode="External"/><Relationship Id="rId5" Type="http://schemas.openxmlformats.org/officeDocument/2006/relationships/hyperlink" Target="http://www.chinatax.gov.cn/chinatax/n363/c21603671/5134911/files/a65adb5dd6d448398a63de72a1c73a5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2020-06-09T00:31:00Z</dcterms:created>
  <dcterms:modified xsi:type="dcterms:W3CDTF">2020-06-09T00:54:00Z</dcterms:modified>
</cp:coreProperties>
</file>