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44"/>
          <w:szCs w:val="44"/>
        </w:rPr>
        <w:t>贵州商学院疫情防控个人健康承诺书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为全力支持配合新型冠状病毒感染的肺炎疫情防控工作，切实保障本人及他人身体健康和生命安全，确保贵州商学院2020年度教师节表彰暨师德师风建设大会顺利进行，本人对以下情况进行自检并作出承诺：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.本人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14天内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没有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到过境外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或中、高风险地区；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.本人不属于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新冠肺炎确诊病例、无症状感染者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、疑似病例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和密切接触者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本人目前没有发热、咳嗽、乏力、胸闷等症状；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本人对以上提供的健康相关信息的真实性负责。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880" w:hanging="6720" w:hangingChars="2100"/>
        <w:jc w:val="left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                              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760" w:firstLineChars="1800"/>
        <w:jc w:val="left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F617D"/>
    <w:rsid w:val="2D0E7682"/>
    <w:rsid w:val="4BAE28ED"/>
    <w:rsid w:val="4E9A05D4"/>
    <w:rsid w:val="609F617D"/>
    <w:rsid w:val="61546140"/>
    <w:rsid w:val="7C9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2020-09-04T03:12:00Z</dcterms:created>
  <dc:creator>刘明华</dc:creator>
  <cp:lastModifiedBy>YANG•SIR「周先生」</cp:lastModifiedBy>
  <dcterms:modified xsi:type="dcterms:W3CDTF">2020-09-04T03:50:04Z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