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 w:val="0"/>
          <w:bCs w:val="0"/>
          <w:sz w:val="36"/>
          <w:szCs w:val="36"/>
        </w:rPr>
      </w:pPr>
      <w:bookmarkStart w:id="0" w:name="_GoBack"/>
      <w:bookmarkEnd w:id="0"/>
      <w:r>
        <w:rPr>
          <w:rFonts w:hint="eastAsia" w:ascii="方正小标宋简体" w:hAnsi="方正小标宋简体" w:eastAsia="方正小标宋简体" w:cs="方正小标宋简体"/>
          <w:b w:val="0"/>
          <w:bCs w:val="0"/>
          <w:sz w:val="36"/>
          <w:szCs w:val="36"/>
        </w:rPr>
        <w:t>贵州商学院高教系列专业技术职务任职资格评审条件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（试行）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 w:val="0"/>
          <w:bCs w:val="0"/>
          <w:sz w:val="32"/>
          <w:szCs w:val="32"/>
        </w:rPr>
      </w:pP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为切实做好学院2020年高教系列专业技术职务任职资格自主评审工作和分类评价工作，根据《贵州省人力资源和社会保障厅关于做好2020年职称工作有关问题的通知》</w:t>
      </w:r>
      <w:r>
        <w:rPr>
          <w:rFonts w:hint="eastAsia" w:asciiTheme="minorEastAsia" w:hAnsiTheme="minorEastAsia" w:cstheme="minorEastAsia"/>
          <w:sz w:val="32"/>
          <w:szCs w:val="32"/>
          <w:lang w:eastAsia="zh-Hans"/>
        </w:rPr>
        <w:t>（</w:t>
      </w:r>
      <w:r>
        <w:rPr>
          <w:rFonts w:hint="eastAsia" w:asciiTheme="minorEastAsia" w:hAnsiTheme="minorEastAsia" w:cstheme="minorEastAsia"/>
          <w:sz w:val="32"/>
          <w:szCs w:val="32"/>
        </w:rPr>
        <w:t>黔人社通〔2020〕119号）、《省教育厅、省人力资源社会保障厅关于做好2020年高等学校教师、中等职业学校教师、中小学教师、实验技术人员等系列职称评审工作的通知》（黔教函〔2020〕317号）、《贵州省人力资源社会保障厅  贵州省教育厅关于高校党务工作者和思想政治工作者专业技术职务任职资格评审办法（试行）》（黔人社通〔2019〕200号）、《贵州省人力资源和社会保障厅关于开展2019年全省“绿色通道”专项职称评审工作的通知》</w:t>
      </w:r>
      <w:r>
        <w:rPr>
          <w:rFonts w:hint="eastAsia" w:asciiTheme="minorEastAsia" w:hAnsiTheme="minorEastAsia" w:cstheme="minorEastAsia"/>
          <w:sz w:val="32"/>
          <w:szCs w:val="32"/>
          <w:lang w:eastAsia="zh-Hans"/>
        </w:rPr>
        <w:t>（</w:t>
      </w:r>
      <w:r>
        <w:rPr>
          <w:rFonts w:hint="eastAsia" w:asciiTheme="minorEastAsia" w:hAnsiTheme="minorEastAsia" w:cstheme="minorEastAsia"/>
          <w:sz w:val="32"/>
          <w:szCs w:val="32"/>
        </w:rPr>
        <w:t>黔人社通〔2019〕</w:t>
      </w:r>
      <w:r>
        <w:rPr>
          <w:rFonts w:asciiTheme="minorEastAsia" w:hAnsiTheme="minorEastAsia" w:cstheme="minorEastAsia"/>
          <w:sz w:val="32"/>
          <w:szCs w:val="32"/>
        </w:rPr>
        <w:t>126号</w:t>
      </w:r>
      <w:r>
        <w:rPr>
          <w:rFonts w:hint="eastAsia" w:asciiTheme="minorEastAsia" w:hAnsiTheme="minorEastAsia" w:cstheme="minorEastAsia"/>
          <w:sz w:val="32"/>
          <w:szCs w:val="32"/>
          <w:lang w:eastAsia="zh-Hans"/>
        </w:rPr>
        <w:t>）</w:t>
      </w:r>
      <w:r>
        <w:rPr>
          <w:rFonts w:hint="eastAsia" w:asciiTheme="minorEastAsia" w:hAnsiTheme="minorEastAsia" w:cstheme="minorEastAsia"/>
          <w:sz w:val="32"/>
          <w:szCs w:val="32"/>
        </w:rPr>
        <w:t>及《贵州省高等学校教师系列专业技术职务任职资格申报评审条</w:t>
      </w:r>
      <w:r>
        <w:rPr>
          <w:rFonts w:hint="eastAsia" w:asciiTheme="minorEastAsia" w:hAnsiTheme="minorEastAsia" w:cstheme="minorEastAsia"/>
          <w:spacing w:val="-5"/>
          <w:sz w:val="32"/>
          <w:szCs w:val="32"/>
        </w:rPr>
        <w:t>件</w:t>
      </w:r>
      <w:r>
        <w:rPr>
          <w:rFonts w:hint="eastAsia" w:asciiTheme="minorEastAsia" w:hAnsiTheme="minorEastAsia" w:cstheme="minorEastAsia"/>
          <w:sz w:val="32"/>
          <w:szCs w:val="32"/>
        </w:rPr>
        <w:t>（试行</w:t>
      </w:r>
      <w:r>
        <w:rPr>
          <w:rFonts w:hint="eastAsia" w:asciiTheme="minorEastAsia" w:hAnsiTheme="minorEastAsia" w:cstheme="minorEastAsia"/>
          <w:spacing w:val="-5"/>
          <w:sz w:val="32"/>
          <w:szCs w:val="32"/>
        </w:rPr>
        <w:t>）</w:t>
      </w:r>
      <w:r>
        <w:rPr>
          <w:rFonts w:hint="eastAsia" w:asciiTheme="minorEastAsia" w:hAnsiTheme="minorEastAsia" w:cstheme="minorEastAsia"/>
          <w:spacing w:val="-7"/>
          <w:sz w:val="32"/>
          <w:szCs w:val="32"/>
        </w:rPr>
        <w:t>》</w:t>
      </w:r>
      <w:r>
        <w:rPr>
          <w:rFonts w:hint="eastAsia" w:asciiTheme="minorEastAsia" w:hAnsiTheme="minorEastAsia" w:cstheme="minorEastAsia"/>
          <w:sz w:val="32"/>
          <w:szCs w:val="32"/>
        </w:rPr>
        <w:t>（黔人社</w:t>
      </w:r>
      <w:r>
        <w:rPr>
          <w:rFonts w:hint="eastAsia" w:asciiTheme="minorEastAsia" w:hAnsiTheme="minorEastAsia" w:cstheme="minorEastAsia"/>
          <w:spacing w:val="-5"/>
          <w:sz w:val="32"/>
          <w:szCs w:val="32"/>
        </w:rPr>
        <w:t>通</w:t>
      </w:r>
      <w:r>
        <w:rPr>
          <w:rFonts w:hint="eastAsia" w:asciiTheme="minorEastAsia" w:hAnsiTheme="minorEastAsia" w:cstheme="minorEastAsia"/>
          <w:sz w:val="32"/>
          <w:szCs w:val="32"/>
        </w:rPr>
        <w:t>〔2014</w:t>
      </w:r>
      <w:r>
        <w:rPr>
          <w:rFonts w:hint="eastAsia" w:asciiTheme="minorEastAsia" w:hAnsiTheme="minorEastAsia" w:cstheme="minorEastAsia"/>
          <w:spacing w:val="-5"/>
          <w:sz w:val="32"/>
          <w:szCs w:val="32"/>
        </w:rPr>
        <w:t>〕</w:t>
      </w:r>
      <w:r>
        <w:rPr>
          <w:rFonts w:hint="eastAsia" w:asciiTheme="minorEastAsia" w:hAnsiTheme="minorEastAsia" w:cstheme="minorEastAsia"/>
          <w:sz w:val="32"/>
          <w:szCs w:val="32"/>
        </w:rPr>
        <w:t>756</w:t>
      </w:r>
      <w:r>
        <w:rPr>
          <w:rFonts w:hint="eastAsia" w:asciiTheme="minorEastAsia" w:hAnsiTheme="minorEastAsia" w:cstheme="minorEastAsia"/>
          <w:spacing w:val="-92"/>
          <w:sz w:val="32"/>
          <w:szCs w:val="32"/>
        </w:rPr>
        <w:t xml:space="preserve"> </w:t>
      </w:r>
      <w:r>
        <w:rPr>
          <w:rFonts w:hint="eastAsia" w:asciiTheme="minorEastAsia" w:hAnsiTheme="minorEastAsia" w:cstheme="minorEastAsia"/>
          <w:sz w:val="32"/>
          <w:szCs w:val="32"/>
        </w:rPr>
        <w:t>号</w:t>
      </w:r>
      <w:r>
        <w:rPr>
          <w:rFonts w:hint="eastAsia" w:asciiTheme="minorEastAsia" w:hAnsiTheme="minorEastAsia" w:cstheme="minorEastAsia"/>
          <w:spacing w:val="-5"/>
          <w:sz w:val="32"/>
          <w:szCs w:val="32"/>
        </w:rPr>
        <w:t>）等文件</w:t>
      </w:r>
      <w:r>
        <w:rPr>
          <w:rFonts w:hint="eastAsia" w:asciiTheme="minorEastAsia" w:hAnsiTheme="minorEastAsia" w:cstheme="minorEastAsia"/>
          <w:sz w:val="32"/>
          <w:szCs w:val="32"/>
        </w:rPr>
        <w:t>精神，制定本评审条件。</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一、申报绿色通道人员应为2019年1月1日-2020年8月31日期间从外省引进学院工作的高层次人才（以人社厅下文为准），绿色通道专业任职资格评审根据《贵州省人力资源和社会保障厅关于做好2020年职称工作有关问题的通知》（黔人社通〔2020〕119号）精神，由学院高级职称评审委员会组织实施，与正常评审同时进行。申报人业绩条件及相关要求参照《贵州省人力资源和社会保障厅关于开展2019年全省“绿色通道”专项职称评审工作的通知》</w:t>
      </w:r>
      <w:r>
        <w:rPr>
          <w:rFonts w:hint="eastAsia" w:asciiTheme="minorEastAsia" w:hAnsiTheme="minorEastAsia" w:cstheme="minorEastAsia"/>
          <w:sz w:val="32"/>
          <w:szCs w:val="32"/>
          <w:lang w:eastAsia="zh-Hans"/>
        </w:rPr>
        <w:t>（</w:t>
      </w:r>
      <w:r>
        <w:rPr>
          <w:rFonts w:hint="eastAsia" w:asciiTheme="minorEastAsia" w:hAnsiTheme="minorEastAsia" w:cstheme="minorEastAsia"/>
          <w:sz w:val="32"/>
          <w:szCs w:val="32"/>
        </w:rPr>
        <w:t>黔人社通〔2019〕</w:t>
      </w:r>
      <w:r>
        <w:rPr>
          <w:rFonts w:asciiTheme="minorEastAsia" w:hAnsiTheme="minorEastAsia" w:cstheme="minorEastAsia"/>
          <w:sz w:val="32"/>
          <w:szCs w:val="32"/>
        </w:rPr>
        <w:t>126号)</w:t>
      </w:r>
      <w:r>
        <w:rPr>
          <w:rFonts w:hint="eastAsia" w:asciiTheme="minorEastAsia" w:hAnsiTheme="minorEastAsia" w:cstheme="minorEastAsia"/>
          <w:sz w:val="32"/>
          <w:szCs w:val="32"/>
        </w:rPr>
        <w:t>要求执行。</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二、正常申报人员的业绩条件除要符合《贵州省高等学校教师系列专业技术职务任职资格申报评审条件（试行）》（黔人社通〔2014〕756号）规定外，科研业绩成果应与所申报专业一致，任现职以来，具有至少1年担任辅导员（班主任）工作经历并考核合格，根据学院实际情况，还需符合以下条件：</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（一）申报教授</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1、任现职以来或近5年给本科生上过两门及以上本科课程，教学质量评价平均分在90分以上。</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2、具备连续1年或累计2年的基层工作经历。</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3、满足下列其中两项条件：</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（1）获得省（部）级优秀教学成果奖、科技进步奖、哲学社会科学优秀成果奖、科学技术成果转化奖一等奖（排前3）或二等奖（排前1）</w:t>
      </w:r>
      <w:r>
        <w:rPr>
          <w:rFonts w:hint="eastAsia" w:asciiTheme="minorEastAsia" w:hAnsiTheme="minorEastAsia" w:cstheme="minorEastAsia"/>
          <w:sz w:val="32"/>
          <w:szCs w:val="32"/>
          <w:lang w:eastAsia="zh-CN"/>
        </w:rPr>
        <w:t>及</w:t>
      </w:r>
      <w:r>
        <w:rPr>
          <w:rFonts w:hint="eastAsia" w:asciiTheme="minorEastAsia" w:hAnsiTheme="minorEastAsia" w:cstheme="minorEastAsia"/>
          <w:sz w:val="32"/>
          <w:szCs w:val="32"/>
        </w:rPr>
        <w:t>以上。</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（2）主持完成省</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部</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级及以上科研项目1项。</w:t>
      </w:r>
    </w:p>
    <w:p>
      <w:pPr>
        <w:spacing w:line="560" w:lineRule="exact"/>
        <w:ind w:firstLine="640" w:firstLineChars="200"/>
        <w:jc w:val="left"/>
        <w:rPr>
          <w:rFonts w:asciiTheme="minorEastAsia" w:hAnsiTheme="minorEastAsia" w:cstheme="minorEastAsia"/>
          <w:color w:val="auto"/>
          <w:sz w:val="32"/>
          <w:szCs w:val="32"/>
        </w:rPr>
      </w:pPr>
      <w:r>
        <w:rPr>
          <w:rFonts w:hint="eastAsia" w:asciiTheme="minorEastAsia" w:hAnsiTheme="minorEastAsia" w:cstheme="minorEastAsia"/>
          <w:sz w:val="32"/>
          <w:szCs w:val="32"/>
        </w:rPr>
        <w:t>（3）</w:t>
      </w:r>
      <w:r>
        <w:rPr>
          <w:rFonts w:hint="eastAsia" w:asciiTheme="minorEastAsia" w:hAnsiTheme="minorEastAsia" w:cstheme="minorEastAsia"/>
          <w:color w:val="auto"/>
          <w:sz w:val="32"/>
          <w:szCs w:val="32"/>
        </w:rPr>
        <w:t>主持完成省</w:t>
      </w:r>
      <w:r>
        <w:rPr>
          <w:rFonts w:hint="eastAsia" w:asciiTheme="minorEastAsia" w:hAnsiTheme="minorEastAsia" w:cstheme="minorEastAsia"/>
          <w:color w:val="auto"/>
          <w:sz w:val="32"/>
          <w:szCs w:val="32"/>
          <w:lang w:eastAsia="zh-CN"/>
        </w:rPr>
        <w:t>（部）</w:t>
      </w:r>
      <w:r>
        <w:rPr>
          <w:rFonts w:hint="eastAsia" w:asciiTheme="minorEastAsia" w:hAnsiTheme="minorEastAsia" w:cstheme="minorEastAsia"/>
          <w:color w:val="auto"/>
          <w:sz w:val="32"/>
          <w:szCs w:val="32"/>
        </w:rPr>
        <w:t>级及以上“双一流”建设项目1项。</w:t>
      </w:r>
    </w:p>
    <w:p>
      <w:pPr>
        <w:spacing w:line="560" w:lineRule="exact"/>
        <w:ind w:firstLine="640" w:firstLineChars="200"/>
        <w:jc w:val="left"/>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（4）参与</w:t>
      </w:r>
      <w:r>
        <w:rPr>
          <w:rFonts w:hint="eastAsia" w:asciiTheme="minorEastAsia" w:hAnsiTheme="minorEastAsia" w:cstheme="minorEastAsia"/>
          <w:color w:val="auto"/>
          <w:sz w:val="32"/>
          <w:szCs w:val="32"/>
          <w:lang w:eastAsia="zh-CN"/>
        </w:rPr>
        <w:t>完成</w:t>
      </w:r>
      <w:r>
        <w:rPr>
          <w:rFonts w:hint="eastAsia" w:asciiTheme="minorEastAsia" w:hAnsiTheme="minorEastAsia" w:cstheme="minorEastAsia"/>
          <w:color w:val="auto"/>
          <w:sz w:val="32"/>
          <w:szCs w:val="32"/>
        </w:rPr>
        <w:t>国家</w:t>
      </w:r>
      <w:r>
        <w:rPr>
          <w:rFonts w:asciiTheme="minorEastAsia" w:hAnsiTheme="minorEastAsia" w:cstheme="minorEastAsia"/>
          <w:color w:val="auto"/>
          <w:sz w:val="32"/>
          <w:szCs w:val="32"/>
        </w:rPr>
        <w:t>一流本科课程建设</w:t>
      </w:r>
      <w:r>
        <w:rPr>
          <w:rFonts w:hint="eastAsia" w:asciiTheme="minorEastAsia" w:hAnsiTheme="minorEastAsia" w:cstheme="minorEastAsia"/>
          <w:color w:val="auto"/>
          <w:sz w:val="32"/>
          <w:szCs w:val="32"/>
        </w:rPr>
        <w:t>项目1项（排前3）或</w:t>
      </w:r>
      <w:r>
        <w:rPr>
          <w:rFonts w:hint="eastAsia" w:asciiTheme="minorEastAsia" w:hAnsiTheme="minorEastAsia" w:cstheme="minorEastAsia"/>
          <w:color w:val="auto"/>
          <w:sz w:val="32"/>
          <w:szCs w:val="32"/>
          <w:lang w:val="en-US" w:eastAsia="zh-Hans"/>
        </w:rPr>
        <w:t>主持</w:t>
      </w:r>
      <w:r>
        <w:rPr>
          <w:rFonts w:hint="eastAsia" w:asciiTheme="minorEastAsia" w:hAnsiTheme="minorEastAsia" w:cstheme="minorEastAsia"/>
          <w:color w:val="auto"/>
          <w:sz w:val="32"/>
          <w:szCs w:val="32"/>
          <w:lang w:val="en-US" w:eastAsia="zh-CN"/>
        </w:rPr>
        <w:t>完成</w:t>
      </w:r>
      <w:r>
        <w:rPr>
          <w:rFonts w:hint="eastAsia" w:asciiTheme="minorEastAsia" w:hAnsiTheme="minorEastAsia" w:cstheme="minorEastAsia"/>
          <w:color w:val="auto"/>
          <w:sz w:val="32"/>
          <w:szCs w:val="32"/>
        </w:rPr>
        <w:t>省</w:t>
      </w:r>
      <w:r>
        <w:rPr>
          <w:rFonts w:hint="eastAsia" w:asciiTheme="minorEastAsia" w:hAnsiTheme="minorEastAsia" w:cstheme="minorEastAsia"/>
          <w:color w:val="auto"/>
          <w:sz w:val="32"/>
          <w:szCs w:val="32"/>
          <w:lang w:eastAsia="zh-CN"/>
        </w:rPr>
        <w:t>（部）</w:t>
      </w:r>
      <w:r>
        <w:rPr>
          <w:rFonts w:hint="eastAsia" w:asciiTheme="minorEastAsia" w:hAnsiTheme="minorEastAsia" w:cstheme="minorEastAsia"/>
          <w:color w:val="auto"/>
          <w:sz w:val="32"/>
          <w:szCs w:val="32"/>
        </w:rPr>
        <w:t>级</w:t>
      </w:r>
      <w:r>
        <w:rPr>
          <w:rFonts w:asciiTheme="minorEastAsia" w:hAnsiTheme="minorEastAsia" w:cstheme="minorEastAsia"/>
          <w:color w:val="auto"/>
          <w:sz w:val="32"/>
          <w:szCs w:val="32"/>
        </w:rPr>
        <w:t>一流本科课程建设</w:t>
      </w:r>
      <w:r>
        <w:rPr>
          <w:rFonts w:hint="eastAsia" w:asciiTheme="minorEastAsia" w:hAnsiTheme="minorEastAsia" w:cstheme="minorEastAsia"/>
          <w:color w:val="auto"/>
          <w:sz w:val="32"/>
          <w:szCs w:val="32"/>
        </w:rPr>
        <w:t>项目1项。</w:t>
      </w:r>
    </w:p>
    <w:p>
      <w:pPr>
        <w:spacing w:line="500" w:lineRule="exact"/>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（6）在达到规定的核心期刊论文基础上，新增C类及以上期刊论文1篇（独著</w:t>
      </w:r>
      <w:r>
        <w:rPr>
          <w:rFonts w:hint="eastAsia" w:asciiTheme="minorEastAsia" w:hAnsiTheme="minorEastAsia" w:cstheme="minorEastAsia"/>
          <w:color w:val="auto"/>
          <w:sz w:val="32"/>
          <w:szCs w:val="32"/>
          <w:lang w:eastAsia="zh-Hans"/>
        </w:rPr>
        <w:t>，</w:t>
      </w:r>
      <w:r>
        <w:rPr>
          <w:rFonts w:hint="eastAsia" w:asciiTheme="minorEastAsia" w:hAnsiTheme="minorEastAsia" w:cstheme="minorEastAsia"/>
          <w:color w:val="auto"/>
          <w:sz w:val="32"/>
          <w:szCs w:val="32"/>
          <w:lang w:val="en-US" w:eastAsia="zh-Hans"/>
        </w:rPr>
        <w:t>非电子期刊，查重</w:t>
      </w:r>
      <w:r>
        <w:rPr>
          <w:rFonts w:hint="eastAsia" w:asciiTheme="minorEastAsia" w:hAnsiTheme="minorEastAsia" w:cstheme="minorEastAsia"/>
          <w:color w:val="auto"/>
          <w:sz w:val="32"/>
          <w:szCs w:val="32"/>
          <w:lang w:val="en-US" w:eastAsia="zh-CN"/>
        </w:rPr>
        <w:t>15</w:t>
      </w:r>
      <w:r>
        <w:rPr>
          <w:rFonts w:hint="default" w:asciiTheme="minorEastAsia" w:hAnsiTheme="minorEastAsia" w:cstheme="minorEastAsia"/>
          <w:color w:val="auto"/>
          <w:sz w:val="32"/>
          <w:szCs w:val="32"/>
          <w:lang w:eastAsia="zh-Hans"/>
        </w:rPr>
        <w:t>%</w:t>
      </w:r>
      <w:r>
        <w:rPr>
          <w:rFonts w:hint="eastAsia" w:asciiTheme="minorEastAsia" w:hAnsiTheme="minorEastAsia" w:cstheme="minorEastAsia"/>
          <w:color w:val="auto"/>
          <w:sz w:val="32"/>
          <w:szCs w:val="32"/>
          <w:lang w:val="en-US" w:eastAsia="zh-Hans"/>
        </w:rPr>
        <w:t>以下</w:t>
      </w:r>
      <w:r>
        <w:rPr>
          <w:rFonts w:hint="eastAsia" w:asciiTheme="minorEastAsia" w:hAnsiTheme="minorEastAsia" w:cstheme="minorEastAsia"/>
          <w:color w:val="auto"/>
          <w:sz w:val="32"/>
          <w:szCs w:val="32"/>
        </w:rPr>
        <w:t>）</w:t>
      </w:r>
      <w:r>
        <w:rPr>
          <w:rFonts w:hint="eastAsia" w:asciiTheme="minorEastAsia" w:hAnsiTheme="minorEastAsia" w:cstheme="minorEastAsia"/>
          <w:color w:val="auto"/>
          <w:sz w:val="32"/>
          <w:szCs w:val="32"/>
          <w:lang w:eastAsia="zh-Hans"/>
        </w:rPr>
        <w:t>。</w:t>
      </w:r>
    </w:p>
    <w:p>
      <w:pPr>
        <w:spacing w:line="5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（7）</w:t>
      </w:r>
      <w:r>
        <w:rPr>
          <w:rFonts w:hint="eastAsia" w:asciiTheme="minorEastAsia" w:hAnsiTheme="minorEastAsia" w:cstheme="minorEastAsia"/>
          <w:sz w:val="32"/>
          <w:szCs w:val="32"/>
          <w:lang w:eastAsia="zh-CN"/>
        </w:rPr>
        <w:t>出版创见性的学术专著（按照《贵州商学院学术专著鉴定管理办法（试行）》（黔商院发</w:t>
      </w:r>
      <w:r>
        <w:rPr>
          <w:rFonts w:hint="eastAsia" w:asciiTheme="minorEastAsia" w:hAnsiTheme="minorEastAsia" w:cstheme="minorEastAsia"/>
          <w:sz w:val="32"/>
          <w:szCs w:val="32"/>
        </w:rPr>
        <w:t>〔20</w:t>
      </w:r>
      <w:r>
        <w:rPr>
          <w:rFonts w:hint="eastAsia" w:asciiTheme="minorEastAsia" w:hAnsiTheme="minorEastAsia" w:cstheme="minorEastAsia"/>
          <w:sz w:val="32"/>
          <w:szCs w:val="32"/>
          <w:lang w:val="en-US" w:eastAsia="zh-CN"/>
        </w:rPr>
        <w:t>18</w:t>
      </w:r>
      <w:r>
        <w:rPr>
          <w:rFonts w:hint="eastAsia" w:asciiTheme="minorEastAsia" w:hAnsiTheme="minorEastAsia" w:cstheme="minorEastAsia"/>
          <w:sz w:val="32"/>
          <w:szCs w:val="32"/>
        </w:rPr>
        <w:t>〕1</w:t>
      </w:r>
      <w:r>
        <w:rPr>
          <w:rFonts w:hint="eastAsia" w:asciiTheme="minorEastAsia" w:hAnsiTheme="minorEastAsia" w:cstheme="minorEastAsia"/>
          <w:sz w:val="32"/>
          <w:szCs w:val="32"/>
          <w:lang w:val="en-US" w:eastAsia="zh-CN"/>
        </w:rPr>
        <w:t>48</w:t>
      </w:r>
      <w:r>
        <w:rPr>
          <w:rFonts w:hint="eastAsia" w:asciiTheme="minorEastAsia" w:hAnsiTheme="minorEastAsia" w:cstheme="minorEastAsia"/>
          <w:sz w:val="32"/>
          <w:szCs w:val="32"/>
        </w:rPr>
        <w:t>号</w:t>
      </w:r>
      <w:r>
        <w:rPr>
          <w:rFonts w:hint="eastAsia" w:asciiTheme="minorEastAsia" w:hAnsiTheme="minorEastAsia" w:cstheme="minorEastAsia"/>
          <w:sz w:val="32"/>
          <w:szCs w:val="32"/>
          <w:lang w:eastAsia="zh-CN"/>
        </w:rPr>
        <w:t>）执行）或教育部规划</w:t>
      </w:r>
      <w:r>
        <w:rPr>
          <w:rFonts w:hint="eastAsia" w:asciiTheme="minorEastAsia" w:hAnsiTheme="minorEastAsia" w:cstheme="minorEastAsia"/>
          <w:sz w:val="32"/>
          <w:szCs w:val="32"/>
        </w:rPr>
        <w:t>教材1部。</w:t>
      </w:r>
    </w:p>
    <w:p>
      <w:pPr>
        <w:spacing w:line="50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（8）获高校青年教师教学竞赛国家级三等奖</w:t>
      </w:r>
      <w:r>
        <w:rPr>
          <w:rFonts w:hint="eastAsia" w:asciiTheme="minorEastAsia" w:hAnsiTheme="minorEastAsia" w:cstheme="minorEastAsia"/>
          <w:sz w:val="32"/>
          <w:szCs w:val="32"/>
          <w:lang w:eastAsia="zh-CN"/>
        </w:rPr>
        <w:t>及</w:t>
      </w:r>
      <w:r>
        <w:rPr>
          <w:rFonts w:hint="eastAsia" w:asciiTheme="minorEastAsia" w:hAnsiTheme="minorEastAsia" w:cstheme="minorEastAsia"/>
          <w:sz w:val="32"/>
          <w:szCs w:val="32"/>
        </w:rPr>
        <w:t>以上或省</w:t>
      </w:r>
      <w:r>
        <w:rPr>
          <w:rFonts w:hint="eastAsia" w:asciiTheme="minorEastAsia" w:hAnsiTheme="minorEastAsia" w:cstheme="minorEastAsia"/>
          <w:sz w:val="32"/>
          <w:szCs w:val="32"/>
          <w:lang w:eastAsia="zh-CN"/>
        </w:rPr>
        <w:t>（部）</w:t>
      </w:r>
      <w:r>
        <w:rPr>
          <w:rFonts w:hint="eastAsia" w:asciiTheme="minorEastAsia" w:hAnsiTheme="minorEastAsia" w:cstheme="minorEastAsia"/>
          <w:sz w:val="32"/>
          <w:szCs w:val="32"/>
        </w:rPr>
        <w:t>级二等奖</w:t>
      </w:r>
      <w:r>
        <w:rPr>
          <w:rFonts w:hint="eastAsia" w:asciiTheme="minorEastAsia" w:hAnsiTheme="minorEastAsia" w:cstheme="minorEastAsia"/>
          <w:sz w:val="32"/>
          <w:szCs w:val="32"/>
          <w:lang w:eastAsia="zh-CN"/>
        </w:rPr>
        <w:t>及</w:t>
      </w:r>
      <w:r>
        <w:rPr>
          <w:rFonts w:hint="eastAsia" w:asciiTheme="minorEastAsia" w:hAnsiTheme="minorEastAsia" w:cstheme="minorEastAsia"/>
          <w:sz w:val="32"/>
          <w:szCs w:val="32"/>
        </w:rPr>
        <w:t>以上。</w:t>
      </w:r>
    </w:p>
    <w:p>
      <w:pPr>
        <w:numPr>
          <w:ilvl w:val="0"/>
          <w:numId w:val="1"/>
        </w:numPr>
        <w:spacing w:line="5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获得省</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部</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级及以上教学名师、优秀教师或教育工作先进个人。</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（二）申报副教授 </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1、任现职以来或近5年给本科生上过两门及以上本科课程，教学质量评价平均分在90分以上。</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2、具备连续1年或累计2年的基层工作经历。</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3、满足下列其中两项条件：</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（1）获得省（部）级优秀教学成果奖、科技进步奖、哲学社会科学优秀成果奖、科学技术成果转化奖一等奖（排前5）或二等奖（排前3）或三等奖（排前1）</w:t>
      </w:r>
      <w:r>
        <w:rPr>
          <w:rFonts w:hint="eastAsia" w:asciiTheme="minorEastAsia" w:hAnsiTheme="minorEastAsia" w:cstheme="minorEastAsia"/>
          <w:sz w:val="32"/>
          <w:szCs w:val="32"/>
          <w:lang w:eastAsia="zh-CN"/>
        </w:rPr>
        <w:t>及</w:t>
      </w:r>
      <w:r>
        <w:rPr>
          <w:rFonts w:hint="eastAsia" w:asciiTheme="minorEastAsia" w:hAnsiTheme="minorEastAsia" w:cstheme="minorEastAsia"/>
          <w:sz w:val="32"/>
          <w:szCs w:val="32"/>
        </w:rPr>
        <w:t>以上。</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（2）参与完成省</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部</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级及以上科研项目1项（排前3）或主持完成市</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厅</w:t>
      </w:r>
      <w:r>
        <w:rPr>
          <w:rFonts w:hint="eastAsia" w:asciiTheme="minorEastAsia" w:hAnsiTheme="minorEastAsia" w:cstheme="minorEastAsia"/>
          <w:sz w:val="32"/>
          <w:szCs w:val="32"/>
          <w:lang w:eastAsia="zh-CN"/>
        </w:rPr>
        <w:t>）</w:t>
      </w:r>
      <w:r>
        <w:rPr>
          <w:rFonts w:hint="eastAsia" w:asciiTheme="minorEastAsia" w:hAnsiTheme="minorEastAsia" w:cstheme="minorEastAsia"/>
          <w:sz w:val="32"/>
          <w:szCs w:val="32"/>
        </w:rPr>
        <w:t>级课题1项。</w:t>
      </w:r>
    </w:p>
    <w:p>
      <w:pPr>
        <w:spacing w:line="560" w:lineRule="exact"/>
        <w:ind w:firstLine="640" w:firstLineChars="200"/>
        <w:jc w:val="left"/>
        <w:rPr>
          <w:rFonts w:hint="eastAsia" w:asciiTheme="minorEastAsia" w:hAnsiTheme="minorEastAsia" w:cstheme="minorEastAsia"/>
          <w:sz w:val="32"/>
          <w:szCs w:val="32"/>
        </w:rPr>
      </w:pPr>
      <w:r>
        <w:rPr>
          <w:rFonts w:hint="eastAsia" w:asciiTheme="minorEastAsia" w:hAnsiTheme="minorEastAsia" w:cstheme="minorEastAsia"/>
          <w:sz w:val="32"/>
          <w:szCs w:val="32"/>
        </w:rPr>
        <w:t>（3）参与完成省</w:t>
      </w:r>
      <w:r>
        <w:rPr>
          <w:rFonts w:hint="eastAsia" w:asciiTheme="minorEastAsia" w:hAnsiTheme="minorEastAsia" w:cstheme="minorEastAsia"/>
          <w:sz w:val="32"/>
          <w:szCs w:val="32"/>
          <w:lang w:eastAsia="zh-CN"/>
        </w:rPr>
        <w:t>（部）</w:t>
      </w:r>
      <w:r>
        <w:rPr>
          <w:rFonts w:hint="eastAsia" w:asciiTheme="minorEastAsia" w:hAnsiTheme="minorEastAsia" w:cstheme="minorEastAsia"/>
          <w:sz w:val="32"/>
          <w:szCs w:val="32"/>
        </w:rPr>
        <w:t>级及以上“双一流”建设项目1项（排前3）</w:t>
      </w:r>
      <w:r>
        <w:rPr>
          <w:rFonts w:hint="eastAsia" w:asciiTheme="minorEastAsia" w:hAnsiTheme="minorEastAsia" w:cstheme="minorEastAsia"/>
          <w:sz w:val="32"/>
          <w:szCs w:val="32"/>
          <w:lang w:eastAsia="zh-Hans"/>
        </w:rPr>
        <w:t>。</w:t>
      </w:r>
    </w:p>
    <w:p>
      <w:pPr>
        <w:spacing w:line="560" w:lineRule="exact"/>
        <w:ind w:firstLine="640" w:firstLineChars="200"/>
        <w:jc w:val="left"/>
        <w:rPr>
          <w:rFonts w:hint="eastAsia" w:asciiTheme="minorEastAsia" w:hAnsiTheme="minorEastAsia" w:cstheme="minorEastAsia"/>
          <w:sz w:val="32"/>
          <w:szCs w:val="32"/>
        </w:rPr>
      </w:pPr>
      <w:r>
        <w:rPr>
          <w:rFonts w:hint="eastAsia" w:asciiTheme="minorEastAsia" w:hAnsiTheme="minorEastAsia" w:cstheme="minorEastAsia"/>
          <w:sz w:val="32"/>
          <w:szCs w:val="32"/>
        </w:rPr>
        <w:t>（4）参与</w:t>
      </w:r>
      <w:r>
        <w:rPr>
          <w:rFonts w:hint="eastAsia" w:asciiTheme="minorEastAsia" w:hAnsiTheme="minorEastAsia" w:cstheme="minorEastAsia"/>
          <w:sz w:val="32"/>
          <w:szCs w:val="32"/>
          <w:lang w:eastAsia="zh-CN"/>
        </w:rPr>
        <w:t>完成</w:t>
      </w:r>
      <w:r>
        <w:rPr>
          <w:rFonts w:hint="eastAsia" w:asciiTheme="minorEastAsia" w:hAnsiTheme="minorEastAsia" w:cstheme="minorEastAsia"/>
          <w:sz w:val="32"/>
          <w:szCs w:val="32"/>
        </w:rPr>
        <w:t>国家一流本科课程建设项目1项（排前5）或省</w:t>
      </w:r>
      <w:r>
        <w:rPr>
          <w:rFonts w:hint="eastAsia" w:asciiTheme="minorEastAsia" w:hAnsiTheme="minorEastAsia" w:cstheme="minorEastAsia"/>
          <w:sz w:val="32"/>
          <w:szCs w:val="32"/>
          <w:lang w:eastAsia="zh-CN"/>
        </w:rPr>
        <w:t>（部）</w:t>
      </w:r>
      <w:r>
        <w:rPr>
          <w:rFonts w:hint="eastAsia" w:asciiTheme="minorEastAsia" w:hAnsiTheme="minorEastAsia" w:cstheme="minorEastAsia"/>
          <w:sz w:val="32"/>
          <w:szCs w:val="32"/>
        </w:rPr>
        <w:t>级一流本科课程建设项目1项（排前2）。</w:t>
      </w:r>
    </w:p>
    <w:p>
      <w:pPr>
        <w:spacing w:line="5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（6）</w:t>
      </w:r>
      <w:r>
        <w:rPr>
          <w:rFonts w:hint="eastAsia" w:asciiTheme="minorEastAsia" w:hAnsiTheme="minorEastAsia" w:cstheme="minorEastAsia"/>
          <w:color w:val="auto"/>
          <w:sz w:val="32"/>
          <w:szCs w:val="32"/>
        </w:rPr>
        <w:t>在达到规定的核心期刊论文基础上，新增</w:t>
      </w:r>
      <w:r>
        <w:rPr>
          <w:rFonts w:hint="eastAsia" w:asciiTheme="minorEastAsia" w:hAnsiTheme="minorEastAsia" w:cstheme="minorEastAsia"/>
          <w:color w:val="auto"/>
          <w:sz w:val="32"/>
          <w:szCs w:val="32"/>
          <w:lang w:eastAsia="zh-CN"/>
        </w:rPr>
        <w:t>核心</w:t>
      </w:r>
      <w:r>
        <w:rPr>
          <w:rFonts w:hint="eastAsia" w:asciiTheme="minorEastAsia" w:hAnsiTheme="minorEastAsia" w:cstheme="minorEastAsia"/>
          <w:color w:val="auto"/>
          <w:sz w:val="32"/>
          <w:szCs w:val="32"/>
        </w:rPr>
        <w:t>期刊论文1篇（独著</w:t>
      </w:r>
      <w:r>
        <w:rPr>
          <w:rFonts w:hint="eastAsia" w:asciiTheme="minorEastAsia" w:hAnsiTheme="minorEastAsia" w:cstheme="minorEastAsia"/>
          <w:color w:val="auto"/>
          <w:sz w:val="32"/>
          <w:szCs w:val="32"/>
          <w:lang w:eastAsia="zh-Hans"/>
        </w:rPr>
        <w:t>，</w:t>
      </w:r>
      <w:r>
        <w:rPr>
          <w:rFonts w:hint="eastAsia" w:asciiTheme="minorEastAsia" w:hAnsiTheme="minorEastAsia" w:cstheme="minorEastAsia"/>
          <w:color w:val="auto"/>
          <w:sz w:val="32"/>
          <w:szCs w:val="32"/>
          <w:lang w:val="en-US" w:eastAsia="zh-Hans"/>
        </w:rPr>
        <w:t>非电子期刊，查重</w:t>
      </w:r>
      <w:r>
        <w:rPr>
          <w:rFonts w:hint="eastAsia" w:asciiTheme="minorEastAsia" w:hAnsiTheme="minorEastAsia" w:cstheme="minorEastAsia"/>
          <w:color w:val="auto"/>
          <w:sz w:val="32"/>
          <w:szCs w:val="32"/>
          <w:lang w:val="en-US" w:eastAsia="zh-CN"/>
        </w:rPr>
        <w:t>15</w:t>
      </w:r>
      <w:r>
        <w:rPr>
          <w:rFonts w:hint="default" w:asciiTheme="minorEastAsia" w:hAnsiTheme="minorEastAsia" w:cstheme="minorEastAsia"/>
          <w:color w:val="auto"/>
          <w:sz w:val="32"/>
          <w:szCs w:val="32"/>
          <w:lang w:eastAsia="zh-Hans"/>
        </w:rPr>
        <w:t>%</w:t>
      </w:r>
      <w:r>
        <w:rPr>
          <w:rFonts w:hint="eastAsia" w:asciiTheme="minorEastAsia" w:hAnsiTheme="minorEastAsia" w:cstheme="minorEastAsia"/>
          <w:color w:val="auto"/>
          <w:sz w:val="32"/>
          <w:szCs w:val="32"/>
          <w:lang w:val="en-US" w:eastAsia="zh-Hans"/>
        </w:rPr>
        <w:t>以下</w:t>
      </w:r>
      <w:r>
        <w:rPr>
          <w:rFonts w:hint="eastAsia" w:asciiTheme="minorEastAsia" w:hAnsiTheme="minorEastAsia" w:cstheme="minorEastAsia"/>
          <w:color w:val="auto"/>
          <w:sz w:val="32"/>
          <w:szCs w:val="32"/>
        </w:rPr>
        <w:t>）</w:t>
      </w:r>
      <w:r>
        <w:rPr>
          <w:rFonts w:hint="eastAsia" w:asciiTheme="minorEastAsia" w:hAnsiTheme="minorEastAsia" w:cstheme="minorEastAsia"/>
          <w:sz w:val="32"/>
          <w:szCs w:val="32"/>
        </w:rPr>
        <w:t>。</w:t>
      </w:r>
    </w:p>
    <w:p>
      <w:pPr>
        <w:spacing w:line="5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（7）</w:t>
      </w:r>
      <w:r>
        <w:rPr>
          <w:rFonts w:hint="eastAsia" w:asciiTheme="minorEastAsia" w:hAnsiTheme="minorEastAsia" w:cstheme="minorEastAsia"/>
          <w:sz w:val="32"/>
          <w:szCs w:val="32"/>
          <w:lang w:eastAsia="zh-CN"/>
        </w:rPr>
        <w:t>出版较高水平专著（按照《贵州商学院学术专著鉴定管理办法（试行）》（黔商院发</w:t>
      </w:r>
      <w:r>
        <w:rPr>
          <w:rFonts w:hint="eastAsia" w:asciiTheme="minorEastAsia" w:hAnsiTheme="minorEastAsia" w:cstheme="minorEastAsia"/>
          <w:sz w:val="32"/>
          <w:szCs w:val="32"/>
        </w:rPr>
        <w:t>〔20</w:t>
      </w:r>
      <w:r>
        <w:rPr>
          <w:rFonts w:hint="eastAsia" w:asciiTheme="minorEastAsia" w:hAnsiTheme="minorEastAsia" w:cstheme="minorEastAsia"/>
          <w:sz w:val="32"/>
          <w:szCs w:val="32"/>
          <w:lang w:val="en-US" w:eastAsia="zh-CN"/>
        </w:rPr>
        <w:t>18</w:t>
      </w:r>
      <w:r>
        <w:rPr>
          <w:rFonts w:hint="eastAsia" w:asciiTheme="minorEastAsia" w:hAnsiTheme="minorEastAsia" w:cstheme="minorEastAsia"/>
          <w:sz w:val="32"/>
          <w:szCs w:val="32"/>
        </w:rPr>
        <w:t>〕1</w:t>
      </w:r>
      <w:r>
        <w:rPr>
          <w:rFonts w:hint="eastAsia" w:asciiTheme="minorEastAsia" w:hAnsiTheme="minorEastAsia" w:cstheme="minorEastAsia"/>
          <w:sz w:val="32"/>
          <w:szCs w:val="32"/>
          <w:lang w:val="en-US" w:eastAsia="zh-CN"/>
        </w:rPr>
        <w:t>48</w:t>
      </w:r>
      <w:r>
        <w:rPr>
          <w:rFonts w:hint="eastAsia" w:asciiTheme="minorEastAsia" w:hAnsiTheme="minorEastAsia" w:cstheme="minorEastAsia"/>
          <w:sz w:val="32"/>
          <w:szCs w:val="32"/>
        </w:rPr>
        <w:t>号</w:t>
      </w:r>
      <w:r>
        <w:rPr>
          <w:rFonts w:hint="eastAsia" w:asciiTheme="minorEastAsia" w:hAnsiTheme="minorEastAsia" w:cstheme="minorEastAsia"/>
          <w:sz w:val="32"/>
          <w:szCs w:val="32"/>
          <w:lang w:eastAsia="zh-CN"/>
        </w:rPr>
        <w:t>）执行）或</w:t>
      </w:r>
      <w:r>
        <w:rPr>
          <w:rFonts w:hint="eastAsia" w:asciiTheme="minorEastAsia" w:hAnsiTheme="minorEastAsia" w:cstheme="minorEastAsia"/>
          <w:sz w:val="32"/>
          <w:szCs w:val="32"/>
        </w:rPr>
        <w:t>教材1部。</w:t>
      </w:r>
    </w:p>
    <w:p>
      <w:pPr>
        <w:spacing w:line="5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（8）获高校青年教师教学竞赛省</w:t>
      </w:r>
      <w:r>
        <w:rPr>
          <w:rFonts w:hint="eastAsia" w:asciiTheme="minorEastAsia" w:hAnsiTheme="minorEastAsia" w:cstheme="minorEastAsia"/>
          <w:sz w:val="32"/>
          <w:szCs w:val="32"/>
          <w:lang w:eastAsia="zh-CN"/>
        </w:rPr>
        <w:t>（部）</w:t>
      </w:r>
      <w:r>
        <w:rPr>
          <w:rFonts w:hint="eastAsia" w:asciiTheme="minorEastAsia" w:hAnsiTheme="minorEastAsia" w:cstheme="minorEastAsia"/>
          <w:sz w:val="32"/>
          <w:szCs w:val="32"/>
        </w:rPr>
        <w:t>级三等奖</w:t>
      </w:r>
      <w:r>
        <w:rPr>
          <w:rFonts w:hint="eastAsia" w:asciiTheme="minorEastAsia" w:hAnsiTheme="minorEastAsia" w:cstheme="minorEastAsia"/>
          <w:sz w:val="32"/>
          <w:szCs w:val="32"/>
          <w:lang w:eastAsia="zh-CN"/>
        </w:rPr>
        <w:t>及</w:t>
      </w:r>
      <w:r>
        <w:rPr>
          <w:rFonts w:hint="eastAsia" w:asciiTheme="minorEastAsia" w:hAnsiTheme="minorEastAsia" w:cstheme="minorEastAsia"/>
          <w:sz w:val="32"/>
          <w:szCs w:val="32"/>
        </w:rPr>
        <w:t>以上。</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（9）获得省</w:t>
      </w:r>
      <w:r>
        <w:rPr>
          <w:rFonts w:hint="eastAsia" w:asciiTheme="minorEastAsia" w:hAnsiTheme="minorEastAsia" w:cstheme="minorEastAsia"/>
          <w:sz w:val="32"/>
          <w:szCs w:val="32"/>
          <w:lang w:eastAsia="zh-CN"/>
        </w:rPr>
        <w:t>（部）</w:t>
      </w:r>
      <w:r>
        <w:rPr>
          <w:rFonts w:hint="eastAsia" w:asciiTheme="minorEastAsia" w:hAnsiTheme="minorEastAsia" w:cstheme="minorEastAsia"/>
          <w:sz w:val="32"/>
          <w:szCs w:val="32"/>
        </w:rPr>
        <w:t>级及以上教学名师、优秀教师或教育工作先进个人。</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（三）申报讲师</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1、任现职以来或近5年教学质量评价平均分在85分以上。</w:t>
      </w:r>
    </w:p>
    <w:p>
      <w:pPr>
        <w:pStyle w:val="2"/>
        <w:spacing w:before="5" w:line="326" w:lineRule="auto"/>
        <w:ind w:right="319" w:firstLine="640" w:firstLineChars="200"/>
        <w:rPr>
          <w:rFonts w:asciiTheme="minorEastAsia" w:hAnsiTheme="minorEastAsia" w:cstheme="minorEastAsia"/>
          <w:lang w:val="en-US"/>
        </w:rPr>
      </w:pPr>
      <w:r>
        <w:rPr>
          <w:rFonts w:hint="eastAsia" w:asciiTheme="minorEastAsia" w:hAnsiTheme="minorEastAsia" w:cstheme="minorEastAsia"/>
          <w:lang w:val="en-US"/>
        </w:rPr>
        <w:t>2、</w:t>
      </w:r>
      <w:r>
        <w:rPr>
          <w:rFonts w:hint="eastAsia" w:asciiTheme="minorEastAsia" w:hAnsiTheme="minorEastAsia" w:eastAsiaTheme="minorEastAsia" w:cstheme="minorEastAsia"/>
          <w:lang w:val="en-US"/>
        </w:rPr>
        <w:t>具备累计1年的基层工作经历。</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（四）破格申报以上专业技术任职资格应具备《贵州省高等学校教师系列专业技术职务任职资格申报评审条件（试行）》（黔人社通〔2014〕756号）所规定的相应级别的破格条件。</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三、党务工作者和思想政治工作者“双线”晋升</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（一）严格按照《贵州省人力资源社会保障厅  贵州省教育厅关于高校党务工作者和思想政治工作者专业技术职务任职资格评审办法（试行）》（黔人社通〔20</w:t>
      </w:r>
      <w:r>
        <w:rPr>
          <w:rFonts w:hint="default" w:asciiTheme="minorEastAsia" w:hAnsiTheme="minorEastAsia" w:cstheme="minorEastAsia"/>
          <w:sz w:val="32"/>
          <w:szCs w:val="32"/>
        </w:rPr>
        <w:t>19</w:t>
      </w:r>
      <w:r>
        <w:rPr>
          <w:rFonts w:hint="eastAsia" w:asciiTheme="minorEastAsia" w:hAnsiTheme="minorEastAsia" w:cstheme="minorEastAsia"/>
          <w:sz w:val="32"/>
          <w:szCs w:val="32"/>
        </w:rPr>
        <w:t>〕200号）的要求，在高校教师系列中增设思想政治工作专业，实行单设计划、单列条件、单独评审，开展从事党务工作人员和思想政治工作人员职称评审工作，高级、中级、初级岗位之间的结构比例按照1:3:6进行设置，高级专业技术职务（职称）岗位比例不低于学院平均水平，指标不挪作他用。</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二）我院高校党务工作者和思想政治工作者专业技术职务任职资格的评审范围包括学院分管思想政治教育工作的院级领导干部；组织、宣传、纪检、人事、教师、学工、团委等部门专职工作人员；各二级学院（教学部）从事党务工作和思想政治工作的专职工作人员、专职辅导员等。</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（三）申报思想政治工作专业的人员相关条件及业绩要求综合《贵州省人力资源社会保障厅  贵州省教育厅关于高校党务工作者和思想政治工作者专业技术职务任职资格评审办法（试行）》（黔人社通〔20</w:t>
      </w:r>
      <w:r>
        <w:rPr>
          <w:rFonts w:hint="default" w:asciiTheme="minorEastAsia" w:hAnsiTheme="minorEastAsia" w:cstheme="minorEastAsia"/>
          <w:sz w:val="32"/>
          <w:szCs w:val="32"/>
        </w:rPr>
        <w:t>19</w:t>
      </w:r>
      <w:r>
        <w:rPr>
          <w:rFonts w:hint="eastAsia" w:asciiTheme="minorEastAsia" w:hAnsiTheme="minorEastAsia" w:cstheme="minorEastAsia"/>
          <w:sz w:val="32"/>
          <w:szCs w:val="32"/>
        </w:rPr>
        <w:t>〕200号）和《贵州省高等学校教师系列专业技术职务任职资格申报评审条件（试行）》（黔人社通〔2014〕756号）要求执行，其任课课时量按照附件：《贵州商学院党务工作者和思想政治工作者工作量核算标准》进行计算。同时，申报人员还应具备以下条件：</w:t>
      </w:r>
    </w:p>
    <w:p>
      <w:pPr>
        <w:pStyle w:val="2"/>
        <w:spacing w:before="5" w:line="326" w:lineRule="auto"/>
        <w:ind w:right="319" w:firstLine="640" w:firstLineChars="200"/>
        <w:rPr>
          <w:rFonts w:asciiTheme="minorEastAsia" w:hAnsiTheme="minorEastAsia" w:eastAsiaTheme="minorEastAsia" w:cstheme="minorEastAsia"/>
        </w:rPr>
      </w:pPr>
      <w:r>
        <w:rPr>
          <w:rFonts w:hint="eastAsia" w:asciiTheme="minorEastAsia" w:hAnsiTheme="minorEastAsia" w:cstheme="minorEastAsia"/>
          <w:lang w:val="en-US"/>
        </w:rPr>
        <w:t>1、</w:t>
      </w:r>
      <w:r>
        <w:rPr>
          <w:rFonts w:hint="eastAsia" w:asciiTheme="minorEastAsia" w:hAnsiTheme="minorEastAsia" w:eastAsiaTheme="minorEastAsia" w:cstheme="minorEastAsia"/>
          <w:lang w:val="en-US"/>
        </w:rPr>
        <w:t>任现职以来，</w:t>
      </w:r>
      <w:r>
        <w:rPr>
          <w:rFonts w:hint="eastAsia" w:asciiTheme="minorEastAsia" w:hAnsiTheme="minorEastAsia" w:eastAsiaTheme="minorEastAsia" w:cstheme="minorEastAsia"/>
        </w:rPr>
        <w:t>具有至少1年担任辅导员（班主任）工作经历并考核合格。</w:t>
      </w:r>
    </w:p>
    <w:p>
      <w:pPr>
        <w:pStyle w:val="2"/>
        <w:spacing w:before="3" w:line="328" w:lineRule="auto"/>
        <w:ind w:right="273" w:firstLine="640" w:firstLineChars="200"/>
        <w:rPr>
          <w:rFonts w:asciiTheme="minorEastAsia" w:hAnsiTheme="minorEastAsia" w:cstheme="minorEastAsia"/>
          <w:lang w:val="en-US"/>
        </w:rPr>
      </w:pPr>
      <w:r>
        <w:rPr>
          <w:rFonts w:hint="eastAsia" w:asciiTheme="minorEastAsia" w:hAnsiTheme="minorEastAsia" w:eastAsiaTheme="minorEastAsia" w:cstheme="minorEastAsia"/>
          <w:lang w:val="en-US"/>
        </w:rPr>
        <w:t>2、申报高级职称的人员，</w:t>
      </w:r>
      <w:r>
        <w:rPr>
          <w:rFonts w:hint="eastAsia" w:asciiTheme="minorEastAsia" w:hAnsiTheme="minorEastAsia" w:eastAsiaTheme="minorEastAsia" w:cstheme="minorEastAsia"/>
        </w:rPr>
        <w:t>具备连续</w:t>
      </w:r>
      <w:r>
        <w:rPr>
          <w:rFonts w:hint="eastAsia" w:asciiTheme="minorEastAsia" w:hAnsiTheme="minorEastAsia" w:eastAsiaTheme="minorEastAsia" w:cstheme="minorEastAsia"/>
          <w:lang w:val="en-US"/>
        </w:rPr>
        <w:t>1年或累计2年的基层工作经历；申报中级职称的人员，具备累计1年的基层工作经历。</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四、未获得博士学位的中青年教师（1979年1月1日及以后出生，且在2019年7月15日前入职）申报上一级专业技术职称，</w:t>
      </w:r>
      <w:r>
        <w:rPr>
          <w:rFonts w:hint="eastAsia" w:asciiTheme="minorEastAsia" w:hAnsiTheme="minorEastAsia" w:cstheme="minorEastAsia"/>
          <w:sz w:val="32"/>
          <w:szCs w:val="32"/>
          <w:lang w:val="en-US" w:eastAsia="zh-Hans"/>
        </w:rPr>
        <w:t>需有学院</w:t>
      </w:r>
      <w:r>
        <w:rPr>
          <w:rFonts w:hint="eastAsia" w:asciiTheme="minorEastAsia" w:hAnsiTheme="minorEastAsia" w:cstheme="minorEastAsia"/>
          <w:sz w:val="32"/>
          <w:szCs w:val="32"/>
        </w:rPr>
        <w:t>新商科博士课程培训</w:t>
      </w:r>
      <w:r>
        <w:rPr>
          <w:rFonts w:hint="eastAsia" w:asciiTheme="minorEastAsia" w:hAnsiTheme="minorEastAsia" w:cstheme="minorEastAsia"/>
          <w:sz w:val="32"/>
          <w:szCs w:val="32"/>
          <w:lang w:val="en-US" w:eastAsia="zh-Hans"/>
        </w:rPr>
        <w:t>班学习经历</w:t>
      </w:r>
      <w:r>
        <w:rPr>
          <w:rFonts w:hint="eastAsia" w:asciiTheme="minorEastAsia" w:hAnsiTheme="minorEastAsia" w:cstheme="minorEastAsia"/>
          <w:sz w:val="32"/>
          <w:szCs w:val="32"/>
        </w:rPr>
        <w:t>。</w:t>
      </w:r>
    </w:p>
    <w:p>
      <w:pPr>
        <w:spacing w:line="56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五、脱产助力脱贫攻坚一线、且扶贫效果突出的专业技术人员按照上级职称评审相关规定予以优先评审。</w:t>
      </w:r>
    </w:p>
    <w:p>
      <w:pPr>
        <w:spacing w:line="560" w:lineRule="exact"/>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六、其他类型申报人员和未尽事宜按照上级部门职称评审相关文件规定执行。</w:t>
      </w:r>
    </w:p>
    <w:p/>
    <w:p>
      <w:pPr>
        <w:ind w:firstLine="640" w:firstLineChars="200"/>
      </w:pPr>
      <w:r>
        <w:rPr>
          <w:rFonts w:hint="eastAsia" w:asciiTheme="minorEastAsia" w:hAnsiTheme="minorEastAsia" w:cstheme="minorEastAsia"/>
          <w:sz w:val="32"/>
          <w:szCs w:val="32"/>
        </w:rPr>
        <w:t>附件：贵州商学院党务工作者和思想政治工作者工作量核算标准</w:t>
      </w:r>
    </w:p>
    <w:p/>
    <w:p/>
    <w:p>
      <w:pPr>
        <w:ind w:firstLine="420" w:firstLineChars="200"/>
        <w:rPr>
          <w:rFonts w:hint="eastAsia"/>
        </w:rPr>
      </w:pPr>
      <w:r>
        <w:rPr>
          <w:rFonts w:hint="eastAsia"/>
        </w:rPr>
        <w:t xml:space="preserve">                                           </w:t>
      </w:r>
    </w:p>
    <w:p>
      <w:pPr>
        <w:ind w:firstLine="420" w:firstLineChars="200"/>
        <w:rPr>
          <w:rFonts w:hint="eastAsia"/>
        </w:rPr>
      </w:pPr>
    </w:p>
    <w:p>
      <w:pPr>
        <w:ind w:firstLine="420" w:firstLineChars="200"/>
        <w:rPr>
          <w:rFonts w:hint="eastAsia"/>
        </w:rPr>
      </w:pPr>
    </w:p>
    <w:p>
      <w:pPr>
        <w:ind w:firstLine="420" w:firstLineChars="200"/>
        <w:rPr>
          <w:rFonts w:hint="eastAsia"/>
        </w:rPr>
      </w:pPr>
      <w:r>
        <w:rPr>
          <w:rFonts w:hint="eastAsia"/>
        </w:rPr>
        <w:t xml:space="preserve">                   </w:t>
      </w:r>
    </w:p>
    <w:p>
      <w:pPr>
        <w:ind w:firstLine="6720" w:firstLineChars="2100"/>
        <w:rPr>
          <w:rFonts w:hint="eastAsia" w:asciiTheme="minorEastAsia" w:hAnsiTheme="minorEastAsia" w:cstheme="minorEastAsia"/>
          <w:sz w:val="32"/>
          <w:szCs w:val="32"/>
        </w:rPr>
      </w:pPr>
      <w:r>
        <w:rPr>
          <w:rFonts w:hint="eastAsia" w:asciiTheme="minorEastAsia" w:hAnsiTheme="minorEastAsia" w:cstheme="minorEastAsia"/>
          <w:sz w:val="32"/>
          <w:szCs w:val="32"/>
        </w:rPr>
        <w:t xml:space="preserve"> 贵州商学院</w:t>
      </w:r>
    </w:p>
    <w:p>
      <w:pPr>
        <w:ind w:firstLine="640" w:firstLineChars="200"/>
        <w:rPr>
          <w:rFonts w:hint="eastAsia" w:asciiTheme="minorEastAsia" w:hAnsiTheme="minorEastAsia" w:cstheme="minorEastAsia"/>
          <w:sz w:val="32"/>
          <w:szCs w:val="32"/>
        </w:rPr>
      </w:pPr>
      <w:r>
        <w:rPr>
          <w:rFonts w:hint="eastAsia" w:asciiTheme="minorEastAsia" w:hAnsiTheme="minorEastAsia" w:cstheme="minorEastAsia"/>
          <w:sz w:val="32"/>
          <w:szCs w:val="32"/>
        </w:rPr>
        <w:t xml:space="preserve">                                    2020年10月</w:t>
      </w:r>
      <w:r>
        <w:rPr>
          <w:rFonts w:hint="default" w:asciiTheme="minorEastAsia" w:hAnsiTheme="minorEastAsia" w:cstheme="minorEastAsia"/>
          <w:sz w:val="32"/>
          <w:szCs w:val="32"/>
        </w:rPr>
        <w:t>12</w:t>
      </w:r>
      <w:r>
        <w:rPr>
          <w:rFonts w:hint="eastAsia" w:asciiTheme="minorEastAsia" w:hAnsiTheme="minorEastAsia" w:cstheme="minorEastAsia"/>
          <w:sz w:val="32"/>
          <w:szCs w:val="32"/>
        </w:rPr>
        <w:t>日</w:t>
      </w:r>
    </w:p>
    <w:sectPr>
      <w:pgSz w:w="11906" w:h="16838"/>
      <w:pgMar w:top="1440" w:right="1463" w:bottom="1440"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FBC126"/>
    <w:multiLevelType w:val="singleLevel"/>
    <w:tmpl w:val="92FBC126"/>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F7FE5"/>
    <w:rsid w:val="0027309B"/>
    <w:rsid w:val="002A081D"/>
    <w:rsid w:val="004C001A"/>
    <w:rsid w:val="005034C1"/>
    <w:rsid w:val="00562C82"/>
    <w:rsid w:val="005F527A"/>
    <w:rsid w:val="007551AB"/>
    <w:rsid w:val="008F59DA"/>
    <w:rsid w:val="009A40B2"/>
    <w:rsid w:val="00A66F01"/>
    <w:rsid w:val="00B444BA"/>
    <w:rsid w:val="00BC4AA6"/>
    <w:rsid w:val="00E8066C"/>
    <w:rsid w:val="02283647"/>
    <w:rsid w:val="06FB0605"/>
    <w:rsid w:val="09DC1824"/>
    <w:rsid w:val="09F97A16"/>
    <w:rsid w:val="0AB849B3"/>
    <w:rsid w:val="1647391B"/>
    <w:rsid w:val="16C008CC"/>
    <w:rsid w:val="17353CA0"/>
    <w:rsid w:val="17FF0496"/>
    <w:rsid w:val="18252BF0"/>
    <w:rsid w:val="1D8321B9"/>
    <w:rsid w:val="1F920A1F"/>
    <w:rsid w:val="204A711E"/>
    <w:rsid w:val="207010AC"/>
    <w:rsid w:val="2232576C"/>
    <w:rsid w:val="235C7DEC"/>
    <w:rsid w:val="256F7FE5"/>
    <w:rsid w:val="26AE4A56"/>
    <w:rsid w:val="28FC77D9"/>
    <w:rsid w:val="29563A74"/>
    <w:rsid w:val="327566AD"/>
    <w:rsid w:val="34364668"/>
    <w:rsid w:val="34C8442D"/>
    <w:rsid w:val="34E91544"/>
    <w:rsid w:val="36D95E02"/>
    <w:rsid w:val="36FE41F4"/>
    <w:rsid w:val="37FE094E"/>
    <w:rsid w:val="3B1F2B1C"/>
    <w:rsid w:val="3BC26A10"/>
    <w:rsid w:val="3BF9B64B"/>
    <w:rsid w:val="3EFEAFE2"/>
    <w:rsid w:val="40FD2221"/>
    <w:rsid w:val="431A558D"/>
    <w:rsid w:val="433B13CD"/>
    <w:rsid w:val="48CF7BA9"/>
    <w:rsid w:val="4AAB3EBA"/>
    <w:rsid w:val="4D5A3E4D"/>
    <w:rsid w:val="4E3FB3D7"/>
    <w:rsid w:val="52176E1A"/>
    <w:rsid w:val="54FDD220"/>
    <w:rsid w:val="56F302D9"/>
    <w:rsid w:val="5982734D"/>
    <w:rsid w:val="5A107B49"/>
    <w:rsid w:val="5AF55E66"/>
    <w:rsid w:val="61D703DE"/>
    <w:rsid w:val="67BD1E48"/>
    <w:rsid w:val="68881937"/>
    <w:rsid w:val="6D62470B"/>
    <w:rsid w:val="6F13AA1D"/>
    <w:rsid w:val="6FB35222"/>
    <w:rsid w:val="707E3101"/>
    <w:rsid w:val="70DF6E39"/>
    <w:rsid w:val="71BD14E5"/>
    <w:rsid w:val="75F6AB24"/>
    <w:rsid w:val="78FF3CC8"/>
    <w:rsid w:val="7AAD443C"/>
    <w:rsid w:val="7C1C12F1"/>
    <w:rsid w:val="7CCC1F3A"/>
    <w:rsid w:val="7CFFCFA5"/>
    <w:rsid w:val="7D2FCC90"/>
    <w:rsid w:val="7DF0A044"/>
    <w:rsid w:val="7EFF266B"/>
    <w:rsid w:val="7F2D70A3"/>
    <w:rsid w:val="7FBB66E0"/>
    <w:rsid w:val="7FF44A14"/>
    <w:rsid w:val="7FFF5B85"/>
    <w:rsid w:val="8F713E33"/>
    <w:rsid w:val="8FFCC8CF"/>
    <w:rsid w:val="9F9F9F9F"/>
    <w:rsid w:val="A53F0AD3"/>
    <w:rsid w:val="A7733A39"/>
    <w:rsid w:val="B8DFD231"/>
    <w:rsid w:val="C4FF8199"/>
    <w:rsid w:val="CBFBBEBA"/>
    <w:rsid w:val="CEF74A62"/>
    <w:rsid w:val="CF959CD9"/>
    <w:rsid w:val="E7FFE494"/>
    <w:rsid w:val="EBEF8F8D"/>
    <w:rsid w:val="EEFBB4CB"/>
    <w:rsid w:val="FB6E8033"/>
    <w:rsid w:val="FBFD7FF9"/>
    <w:rsid w:val="FDF2E493"/>
    <w:rsid w:val="FFE751A8"/>
    <w:rsid w:val="FFFF4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仿宋" w:hAnsi="仿宋" w:eastAsia="仿宋" w:cs="仿宋"/>
      <w:kern w:val="0"/>
      <w:sz w:val="32"/>
      <w:szCs w:val="32"/>
      <w:lang w:val="zh-CN" w:bidi="zh-CN"/>
    </w:rPr>
  </w:style>
  <w:style w:type="character" w:styleId="5">
    <w:name w:val="Emphasis"/>
    <w:basedOn w:val="4"/>
    <w:qFormat/>
    <w:uiPriority w:val="20"/>
    <w:rPr>
      <w:i/>
      <w:iCs/>
    </w:rPr>
  </w:style>
  <w:style w:type="paragraph" w:customStyle="1" w:styleId="6">
    <w:name w:val="List Paragraph"/>
    <w:basedOn w:val="1"/>
    <w:qFormat/>
    <w:uiPriority w:val="1"/>
    <w:pPr>
      <w:ind w:left="1328" w:hanging="322"/>
    </w:pPr>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393</Words>
  <Characters>2243</Characters>
  <Lines>18</Lines>
  <Paragraphs>5</Paragraphs>
  <TotalTime>64</TotalTime>
  <ScaleCrop>false</ScaleCrop>
  <LinksUpToDate>false</LinksUpToDate>
  <CharactersWithSpaces>2631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2020-10-11T15:58:00Z</dcterms:created>
  <dc:creator>湘人</dc:creator>
  <cp:lastModifiedBy>YANG•SIR「周先生」</cp:lastModifiedBy>
  <cp:lastPrinted>2020-10-14T06:27:00Z</cp:lastPrinted>
  <dcterms:modified xsi:type="dcterms:W3CDTF">2020-10-14T10:57:20Z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