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bCs/>
          <w:sz w:val="44"/>
          <w:szCs w:val="44"/>
          <w:highlight w:val="none"/>
          <w:lang w:val="en-US" w:eastAsia="zh-CN"/>
        </w:rPr>
      </w:pPr>
    </w:p>
    <w:p>
      <w:pPr>
        <w:jc w:val="center"/>
        <w:rPr>
          <w:rFonts w:hint="eastAsia" w:asciiTheme="majorEastAsia" w:hAnsiTheme="majorEastAsia" w:eastAsiaTheme="majorEastAsia" w:cstheme="majorEastAsia"/>
          <w:b/>
          <w:bCs/>
          <w:sz w:val="72"/>
          <w:szCs w:val="72"/>
          <w:highlight w:val="none"/>
          <w:lang w:val="en-US" w:eastAsia="zh-CN"/>
        </w:rPr>
      </w:pPr>
      <w:r>
        <w:rPr>
          <w:rFonts w:hint="eastAsia" w:asciiTheme="majorEastAsia" w:hAnsiTheme="majorEastAsia" w:eastAsiaTheme="majorEastAsia" w:cstheme="majorEastAsia"/>
          <w:b/>
          <w:bCs/>
          <w:sz w:val="72"/>
          <w:szCs w:val="72"/>
          <w:highlight w:val="none"/>
          <w:lang w:val="en-US" w:eastAsia="zh-CN"/>
        </w:rPr>
        <w:t>贵州商学院二级学院学生2020—2021学年第1学期学生转专业考核办法</w:t>
      </w: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eastAsia" w:asciiTheme="majorEastAsia" w:hAnsiTheme="majorEastAsia" w:eastAsiaTheme="majorEastAsia" w:cstheme="majorEastAsia"/>
          <w:b w:val="0"/>
          <w:bCs w:val="0"/>
          <w:sz w:val="44"/>
          <w:szCs w:val="44"/>
          <w:highlight w:val="none"/>
          <w:lang w:val="en-US" w:eastAsia="zh-CN"/>
        </w:rPr>
      </w:pPr>
      <w:r>
        <w:rPr>
          <w:rFonts w:hint="eastAsia" w:asciiTheme="majorEastAsia" w:hAnsiTheme="majorEastAsia" w:eastAsiaTheme="majorEastAsia" w:cstheme="majorEastAsia"/>
          <w:b w:val="0"/>
          <w:bCs w:val="0"/>
          <w:sz w:val="44"/>
          <w:szCs w:val="44"/>
          <w:highlight w:val="none"/>
          <w:lang w:val="en-US" w:eastAsia="zh-CN"/>
        </w:rPr>
        <w:t>教务处</w:t>
      </w:r>
    </w:p>
    <w:p>
      <w:pPr>
        <w:jc w:val="center"/>
        <w:rPr>
          <w:rFonts w:hint="eastAsia" w:asciiTheme="majorEastAsia" w:hAnsiTheme="majorEastAsia" w:eastAsiaTheme="majorEastAsia" w:cstheme="majorEastAsia"/>
          <w:b w:val="0"/>
          <w:bCs w:val="0"/>
          <w:sz w:val="44"/>
          <w:szCs w:val="44"/>
          <w:highlight w:val="none"/>
          <w:lang w:val="en-US" w:eastAsia="zh-CN"/>
        </w:rPr>
      </w:pPr>
      <w:r>
        <w:rPr>
          <w:rFonts w:hint="eastAsia" w:asciiTheme="majorEastAsia" w:hAnsiTheme="majorEastAsia" w:eastAsiaTheme="majorEastAsia" w:cstheme="majorEastAsia"/>
          <w:b w:val="0"/>
          <w:bCs w:val="0"/>
          <w:sz w:val="44"/>
          <w:szCs w:val="44"/>
          <w:highlight w:val="none"/>
          <w:lang w:val="en-US" w:eastAsia="zh-CN"/>
        </w:rPr>
        <w:t>2020年11月</w:t>
      </w:r>
    </w:p>
    <w:p>
      <w:pPr>
        <w:pStyle w:val="2"/>
        <w:bidi w:val="0"/>
        <w:rPr>
          <w:rFonts w:hint="eastAsia"/>
          <w:lang w:val="en-US" w:eastAsia="zh-CN"/>
        </w:rPr>
      </w:pPr>
      <w:r>
        <w:rPr>
          <w:rFonts w:hint="eastAsia"/>
          <w:lang w:val="en-US" w:eastAsia="zh-CN"/>
        </w:rPr>
        <w:t>贵州商学院财政金融学院</w:t>
      </w:r>
    </w:p>
    <w:p>
      <w:pPr>
        <w:pStyle w:val="2"/>
        <w:bidi w:val="0"/>
        <w:rPr>
          <w:rFonts w:hint="eastAsia"/>
          <w:lang w:val="en-US" w:eastAsia="zh-CN"/>
        </w:rPr>
      </w:pPr>
      <w:r>
        <w:rPr>
          <w:rFonts w:hint="eastAsia"/>
          <w:lang w:val="en-US" w:eastAsia="zh-CN"/>
        </w:rPr>
        <w:t>2020—2021学年第1学期学生转专业考核办法</w:t>
      </w:r>
    </w:p>
    <w:p>
      <w:pPr>
        <w:tabs>
          <w:tab w:val="left" w:pos="1260"/>
        </w:tabs>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根据《贵州商学院学生转专业管理细则（修订）》的文件精神，结合财政金融学院各专业实际情况，现制定财政金融学院2020-2021学年第一学期接收转专业考核办法。</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bCs/>
          <w:sz w:val="30"/>
          <w:szCs w:val="30"/>
        </w:rPr>
        <w:t>一、成立</w:t>
      </w:r>
      <w:r>
        <w:rPr>
          <w:rFonts w:hint="eastAsia" w:ascii="仿宋" w:hAnsi="仿宋" w:eastAsia="仿宋" w:cs="仿宋"/>
          <w:b/>
          <w:sz w:val="30"/>
          <w:szCs w:val="30"/>
        </w:rPr>
        <w:t>财政金融学院转专业工作小组，负责对转出与转入学生资格的审核与面试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组  长：唐  恬  </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副组长：王锐 董耀武 </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成  员：刘玲娅  段登辉  刘寿红  唐登林</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bCs/>
          <w:sz w:val="30"/>
          <w:szCs w:val="30"/>
        </w:rPr>
        <w:t>二、</w:t>
      </w:r>
      <w:r>
        <w:rPr>
          <w:rFonts w:hint="eastAsia" w:ascii="仿宋" w:hAnsi="仿宋" w:eastAsia="仿宋" w:cs="仿宋"/>
          <w:b/>
          <w:sz w:val="30"/>
          <w:szCs w:val="30"/>
        </w:rPr>
        <w:t>接收专业名称、条件及转出名额和接收名额</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财政金融学院2020-2021学年第1学期可接收转入的有2020级投资学、2020级金融工程、2020级保险学、2020级税收学四个专业。</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转出及</w:t>
      </w:r>
      <w:r>
        <w:rPr>
          <w:rFonts w:hint="eastAsia" w:ascii="仿宋" w:hAnsi="仿宋" w:eastAsia="仿宋" w:cs="仿宋"/>
          <w:sz w:val="30"/>
          <w:szCs w:val="30"/>
        </w:rPr>
        <w:t>转入专业限定</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除需符合《贵州商学院学生转专业管理细则（暂行）》规定的条件外，还需符合以下条件：</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1.转出限定。按《贵州商学院学生转专业管理细则（暂行）》相关规定。</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2.转入限定。原则上金融工程、税收学两个专业只接收高考报考理工类的学生。另所有专业只接收高考英语成绩需达到80分，高考数学成绩达90分。</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（二）转入名额</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rPr>
        <w:t>专业转入名额为转入专业招生人数的10%。具体名额如下：投资学专业可</w:t>
      </w:r>
      <w:r>
        <w:rPr>
          <w:rFonts w:hint="eastAsia" w:ascii="仿宋" w:hAnsi="仿宋" w:eastAsia="仿宋" w:cs="仿宋"/>
          <w:sz w:val="30"/>
          <w:szCs w:val="30"/>
        </w:rPr>
        <w:t>转入5人，金融工程专业可转入5人，保险学专业可转入5人，税收学专业可转入15人。</w:t>
      </w:r>
    </w:p>
    <w:p>
      <w:pPr>
        <w:spacing w:line="560" w:lineRule="exact"/>
        <w:ind w:firstLine="602" w:firstLineChars="200"/>
        <w:jc w:val="left"/>
        <w:rPr>
          <w:rFonts w:hint="eastAsia" w:ascii="仿宋" w:hAnsi="仿宋" w:eastAsia="仿宋" w:cs="仿宋"/>
          <w:sz w:val="30"/>
          <w:szCs w:val="30"/>
        </w:rPr>
      </w:pPr>
      <w:r>
        <w:rPr>
          <w:rFonts w:hint="eastAsia" w:ascii="仿宋" w:hAnsi="仿宋" w:eastAsia="仿宋" w:cs="仿宋"/>
          <w:b/>
          <w:bCs/>
          <w:sz w:val="30"/>
          <w:szCs w:val="30"/>
        </w:rPr>
        <w:t xml:space="preserve">第三条 </w:t>
      </w:r>
      <w:r>
        <w:rPr>
          <w:rFonts w:hint="eastAsia" w:ascii="仿宋" w:hAnsi="仿宋" w:eastAsia="仿宋" w:cs="仿宋"/>
          <w:b/>
          <w:sz w:val="30"/>
          <w:szCs w:val="30"/>
        </w:rPr>
        <w:t>考核地点及时间安排</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时间：具体时间另行通知</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地点：尚信楼1A201教室</w:t>
      </w:r>
    </w:p>
    <w:p>
      <w:pPr>
        <w:spacing w:line="560" w:lineRule="exact"/>
        <w:ind w:firstLine="602" w:firstLineChars="200"/>
        <w:rPr>
          <w:rFonts w:hint="eastAsia" w:ascii="仿宋" w:hAnsi="仿宋" w:eastAsia="仿宋" w:cs="仿宋"/>
          <w:b/>
          <w:sz w:val="30"/>
          <w:szCs w:val="30"/>
          <w:highlight w:val="yellow"/>
        </w:rPr>
      </w:pPr>
      <w:r>
        <w:rPr>
          <w:rFonts w:hint="eastAsia" w:ascii="仿宋" w:hAnsi="仿宋" w:eastAsia="仿宋" w:cs="仿宋"/>
          <w:b/>
          <w:bCs/>
          <w:sz w:val="30"/>
          <w:szCs w:val="30"/>
        </w:rPr>
        <w:t xml:space="preserve">第四条 </w:t>
      </w:r>
      <w:r>
        <w:rPr>
          <w:rFonts w:hint="eastAsia" w:ascii="仿宋" w:hAnsi="仿宋" w:eastAsia="仿宋" w:cs="仿宋"/>
          <w:sz w:val="30"/>
          <w:szCs w:val="30"/>
        </w:rPr>
        <w:t>考核办法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考核总成绩=高考基础成绩（占比30%）+微积分笔试（占比30%）+面试成绩（占比40%）</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（一）高考基础成绩考核</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高考基础成绩=高考英语成绩（80分及以上）+高考数学成绩（90分及以上）</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（二）微积分笔试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（三）面试环节管理办法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面试成绩由评委按照评分标准进行打分（详见附件一《“XXXX专业”转专业面试评分表》）</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1.各专业依据“高考基础成绩优先”原则按可转入名额的150%，确定进入面试学生总数。</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面试小组负责考核材料的准备及组织工作，考核成绩采取量化形式。主要考核内容可包括：拟转入专业必备哪些特长、获奖等并提交相关证明；转专业动机、对拟转入专业的基本认识；语言表达能力；其他综合表现等。</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3.转专业工作小组成员根据面试综合表现各自客观公正评分，并在评分表上签字。</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4.对满足接收条件的转专业学生，将高考基础成绩、微积分笔试成绩与面试成绩加总后形成考核总成绩（详见附件二《“XXXX专业”转专业考核成绩汇总表》），由高分至低分录取至该专业拟接收名额。</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5.将最终拟录取名单由财政金融学院转专业工作小组成员集体签字后，经财政金融学院党政联席会议讨论后，形成党政联席会会议纪要，并提交教务处予以公示。</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6.转专业考核结束后，所有考核材料汇总整理并归档。                 </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附件：</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1.“财政金融学院xx专业”转专业面试评分表</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2.“财政金融学院xx专业”转专业考核成绩汇总表</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3.“财政金融学院 xx专业”转专业拟录取学生名单</w:t>
      </w:r>
    </w:p>
    <w:p>
      <w:pPr>
        <w:spacing w:line="560" w:lineRule="exact"/>
        <w:jc w:val="center"/>
        <w:rPr>
          <w:rFonts w:hint="eastAsia" w:ascii="仿宋" w:hAnsi="仿宋" w:eastAsia="仿宋" w:cs="仿宋"/>
          <w:sz w:val="30"/>
          <w:szCs w:val="30"/>
        </w:rPr>
      </w:pPr>
    </w:p>
    <w:p>
      <w:pPr>
        <w:spacing w:line="560" w:lineRule="exact"/>
        <w:jc w:val="center"/>
        <w:rPr>
          <w:rFonts w:hint="eastAsia" w:ascii="仿宋" w:hAnsi="仿宋" w:eastAsia="仿宋" w:cs="仿宋"/>
          <w:sz w:val="30"/>
          <w:szCs w:val="30"/>
        </w:rPr>
      </w:pPr>
    </w:p>
    <w:p>
      <w:pPr>
        <w:spacing w:line="560" w:lineRule="exact"/>
        <w:jc w:val="center"/>
        <w:rPr>
          <w:rFonts w:hint="eastAsia" w:ascii="仿宋" w:hAnsi="仿宋" w:eastAsia="仿宋" w:cs="仿宋"/>
          <w:sz w:val="30"/>
          <w:szCs w:val="30"/>
        </w:rPr>
      </w:pPr>
    </w:p>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 xml:space="preserve">                                       财政金融学院</w:t>
      </w:r>
    </w:p>
    <w:p>
      <w:pPr>
        <w:spacing w:line="560" w:lineRule="exact"/>
        <w:jc w:val="right"/>
        <w:rPr>
          <w:rFonts w:hint="eastAsia" w:ascii="仿宋" w:hAnsi="仿宋" w:eastAsia="仿宋" w:cs="仿宋"/>
          <w:sz w:val="30"/>
          <w:szCs w:val="30"/>
        </w:rPr>
      </w:pPr>
      <w:r>
        <w:rPr>
          <w:rFonts w:hint="eastAsia" w:ascii="仿宋" w:hAnsi="仿宋" w:eastAsia="仿宋" w:cs="仿宋"/>
          <w:sz w:val="30"/>
          <w:szCs w:val="30"/>
        </w:rPr>
        <w:t>2020年11月23日</w:t>
      </w:r>
    </w:p>
    <w:p>
      <w:pPr>
        <w:spacing w:line="560" w:lineRule="exact"/>
        <w:ind w:firstLine="600" w:firstLineChars="200"/>
        <w:jc w:val="right"/>
        <w:rPr>
          <w:rFonts w:hint="eastAsia" w:ascii="仿宋" w:hAnsi="仿宋" w:eastAsia="仿宋" w:cs="仿宋"/>
          <w:sz w:val="30"/>
          <w:szCs w:val="30"/>
        </w:rPr>
        <w:sectPr>
          <w:pgSz w:w="11906" w:h="16838"/>
          <w:pgMar w:top="1440" w:right="1800" w:bottom="1440" w:left="1800" w:header="851" w:footer="992" w:gutter="0"/>
          <w:cols w:space="720" w:num="1"/>
          <w:docGrid w:type="lines" w:linePitch="312" w:charSpace="0"/>
        </w:sectPr>
      </w:pPr>
    </w:p>
    <w:p>
      <w:pPr>
        <w:spacing w:before="78" w:after="78" w:line="360" w:lineRule="auto"/>
        <w:rPr>
          <w:rFonts w:hint="eastAsia" w:ascii="宋体" w:hAnsi="宋体" w:cs="宋体"/>
          <w:b/>
          <w:sz w:val="44"/>
          <w:szCs w:val="44"/>
        </w:rPr>
      </w:pPr>
      <w:r>
        <w:rPr>
          <w:rFonts w:hint="eastAsia" w:ascii="宋体" w:hAnsi="宋体" w:cs="宋体"/>
          <w:sz w:val="24"/>
        </w:rPr>
        <w:t>附件1</w:t>
      </w:r>
    </w:p>
    <w:p>
      <w:pPr>
        <w:spacing w:before="78" w:after="78" w:line="360" w:lineRule="auto"/>
        <w:ind w:firstLine="663" w:firstLineChars="150"/>
        <w:rPr>
          <w:rFonts w:hint="eastAsia" w:ascii="宋体" w:hAnsi="宋体" w:cs="宋体"/>
          <w:b/>
          <w:sz w:val="44"/>
          <w:szCs w:val="44"/>
        </w:rPr>
      </w:pPr>
      <w:r>
        <w:rPr>
          <w:rFonts w:hint="eastAsia" w:ascii="宋体" w:hAnsi="宋体" w:cs="宋体"/>
          <w:b/>
          <w:sz w:val="44"/>
          <w:szCs w:val="44"/>
        </w:rPr>
        <w:t>“XXXX专业”转专业面试评分表</w:t>
      </w:r>
    </w:p>
    <w:tbl>
      <w:tblPr>
        <w:tblStyle w:val="4"/>
        <w:tblpPr w:leftFromText="180" w:rightFromText="180" w:vertAnchor="page" w:horzAnchor="margin" w:tblpY="28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730"/>
        <w:gridCol w:w="148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40" w:type="dxa"/>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姓  名</w:t>
            </w:r>
          </w:p>
        </w:tc>
        <w:tc>
          <w:tcPr>
            <w:tcW w:w="2730" w:type="dxa"/>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原专业</w:t>
            </w:r>
          </w:p>
        </w:tc>
        <w:tc>
          <w:tcPr>
            <w:tcW w:w="3560" w:type="dxa"/>
            <w:gridSpan w:val="2"/>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拟转入专业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40" w:type="dxa"/>
            <w:noWrap w:val="0"/>
            <w:vAlign w:val="center"/>
          </w:tcPr>
          <w:p>
            <w:pPr>
              <w:spacing w:before="78" w:after="78" w:line="360" w:lineRule="auto"/>
              <w:jc w:val="center"/>
              <w:rPr>
                <w:rFonts w:hint="eastAsia" w:ascii="宋体" w:hAnsi="宋体" w:cs="宋体"/>
                <w:sz w:val="28"/>
                <w:szCs w:val="28"/>
              </w:rPr>
            </w:pPr>
          </w:p>
        </w:tc>
        <w:tc>
          <w:tcPr>
            <w:tcW w:w="2730" w:type="dxa"/>
            <w:noWrap w:val="0"/>
            <w:vAlign w:val="center"/>
          </w:tcPr>
          <w:p>
            <w:pPr>
              <w:spacing w:before="78" w:after="78" w:line="360" w:lineRule="auto"/>
              <w:jc w:val="center"/>
              <w:rPr>
                <w:rFonts w:hint="eastAsia" w:ascii="宋体" w:hAnsi="宋体" w:cs="宋体"/>
                <w:sz w:val="28"/>
                <w:szCs w:val="28"/>
              </w:rPr>
            </w:pPr>
          </w:p>
        </w:tc>
        <w:tc>
          <w:tcPr>
            <w:tcW w:w="3560" w:type="dxa"/>
            <w:gridSpan w:val="2"/>
            <w:noWrap w:val="0"/>
            <w:vAlign w:val="center"/>
          </w:tcPr>
          <w:p>
            <w:pPr>
              <w:spacing w:before="78" w:after="78" w:line="360" w:lineRule="auto"/>
              <w:jc w:val="center"/>
              <w:rPr>
                <w:rFonts w:hint="eastAsia" w:ascii="宋体" w:hAnsi="宋体" w:cs="宋体"/>
                <w:sz w:val="28"/>
                <w:szCs w:val="28"/>
              </w:rPr>
            </w:pPr>
            <w:r>
              <w:rPr>
                <w:rFonts w:hint="eastAsia" w:ascii="宋体" w:hAnsi="宋体" w:cs="宋体"/>
                <w:sz w:val="28"/>
                <w:szCs w:val="28"/>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040" w:type="dxa"/>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知识与能力</w:t>
            </w:r>
          </w:p>
        </w:tc>
        <w:tc>
          <w:tcPr>
            <w:tcW w:w="4215" w:type="dxa"/>
            <w:gridSpan w:val="2"/>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考核点</w:t>
            </w:r>
          </w:p>
        </w:tc>
        <w:tc>
          <w:tcPr>
            <w:tcW w:w="2075" w:type="dxa"/>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2040" w:type="dxa"/>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表达能力</w:t>
            </w:r>
          </w:p>
          <w:p>
            <w:pPr>
              <w:spacing w:before="78" w:after="78" w:line="360" w:lineRule="auto"/>
              <w:jc w:val="center"/>
              <w:rPr>
                <w:rFonts w:hint="eastAsia" w:ascii="宋体" w:hAnsi="宋体" w:cs="宋体"/>
                <w:b/>
                <w:sz w:val="28"/>
                <w:szCs w:val="28"/>
              </w:rPr>
            </w:pPr>
            <w:r>
              <w:rPr>
                <w:rFonts w:hint="eastAsia" w:ascii="宋体" w:hAnsi="宋体" w:cs="宋体"/>
                <w:b/>
                <w:sz w:val="28"/>
                <w:szCs w:val="28"/>
              </w:rPr>
              <w:t>（20分）</w:t>
            </w:r>
          </w:p>
        </w:tc>
        <w:tc>
          <w:tcPr>
            <w:tcW w:w="4215" w:type="dxa"/>
            <w:gridSpan w:val="2"/>
            <w:noWrap w:val="0"/>
            <w:vAlign w:val="center"/>
          </w:tcPr>
          <w:p>
            <w:pPr>
              <w:spacing w:before="78" w:after="78" w:line="360" w:lineRule="auto"/>
              <w:jc w:val="left"/>
              <w:rPr>
                <w:rFonts w:hint="eastAsia" w:ascii="宋体" w:hAnsi="宋体" w:cs="宋体"/>
                <w:sz w:val="28"/>
                <w:szCs w:val="28"/>
              </w:rPr>
            </w:pPr>
            <w:r>
              <w:rPr>
                <w:rFonts w:hint="eastAsia" w:ascii="宋体" w:hAnsi="宋体" w:cs="宋体"/>
                <w:sz w:val="28"/>
                <w:szCs w:val="28"/>
              </w:rPr>
              <w:t>自我介绍表述能力、沟通能力、表达方式的恰当性。</w:t>
            </w:r>
          </w:p>
        </w:tc>
        <w:tc>
          <w:tcPr>
            <w:tcW w:w="2075" w:type="dxa"/>
            <w:noWrap w:val="0"/>
            <w:vAlign w:val="center"/>
          </w:tcPr>
          <w:p>
            <w:pPr>
              <w:spacing w:before="78" w:after="78"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040" w:type="dxa"/>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基础知识</w:t>
            </w:r>
          </w:p>
          <w:p>
            <w:pPr>
              <w:spacing w:before="78" w:after="78" w:line="360" w:lineRule="auto"/>
              <w:jc w:val="center"/>
              <w:rPr>
                <w:rFonts w:hint="eastAsia" w:ascii="宋体" w:hAnsi="宋体" w:cs="宋体"/>
                <w:b/>
                <w:sz w:val="28"/>
                <w:szCs w:val="28"/>
              </w:rPr>
            </w:pPr>
            <w:r>
              <w:rPr>
                <w:rFonts w:hint="eastAsia" w:ascii="宋体" w:hAnsi="宋体" w:cs="宋体"/>
                <w:b/>
                <w:sz w:val="28"/>
                <w:szCs w:val="28"/>
              </w:rPr>
              <w:t>（30分）</w:t>
            </w:r>
          </w:p>
        </w:tc>
        <w:tc>
          <w:tcPr>
            <w:tcW w:w="4215" w:type="dxa"/>
            <w:gridSpan w:val="2"/>
            <w:noWrap w:val="0"/>
            <w:vAlign w:val="center"/>
          </w:tcPr>
          <w:p>
            <w:pPr>
              <w:spacing w:before="78" w:after="78" w:line="360" w:lineRule="auto"/>
              <w:jc w:val="left"/>
              <w:rPr>
                <w:rFonts w:hint="eastAsia" w:ascii="宋体" w:hAnsi="宋体" w:cs="宋体"/>
                <w:sz w:val="28"/>
                <w:szCs w:val="28"/>
              </w:rPr>
            </w:pPr>
            <w:r>
              <w:rPr>
                <w:rFonts w:hint="eastAsia" w:ascii="宋体" w:hAnsi="宋体" w:cs="宋体"/>
                <w:sz w:val="28"/>
                <w:szCs w:val="28"/>
              </w:rPr>
              <w:t>逻辑思维是否清晰、表达是否流畅、对知识的掌握程度。</w:t>
            </w:r>
          </w:p>
        </w:tc>
        <w:tc>
          <w:tcPr>
            <w:tcW w:w="2075" w:type="dxa"/>
            <w:noWrap w:val="0"/>
            <w:vAlign w:val="center"/>
          </w:tcPr>
          <w:p>
            <w:pPr>
              <w:spacing w:before="78" w:after="78"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040" w:type="dxa"/>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综合知识</w:t>
            </w:r>
          </w:p>
          <w:p>
            <w:pPr>
              <w:spacing w:before="78" w:after="78" w:line="360" w:lineRule="auto"/>
              <w:jc w:val="center"/>
              <w:rPr>
                <w:rFonts w:hint="eastAsia" w:ascii="宋体" w:hAnsi="宋体" w:cs="宋体"/>
                <w:b/>
                <w:sz w:val="28"/>
                <w:szCs w:val="28"/>
              </w:rPr>
            </w:pPr>
            <w:r>
              <w:rPr>
                <w:rFonts w:hint="eastAsia" w:ascii="宋体" w:hAnsi="宋体" w:cs="宋体"/>
                <w:b/>
                <w:sz w:val="28"/>
                <w:szCs w:val="28"/>
              </w:rPr>
              <w:t>（50分）</w:t>
            </w:r>
          </w:p>
        </w:tc>
        <w:tc>
          <w:tcPr>
            <w:tcW w:w="4215" w:type="dxa"/>
            <w:gridSpan w:val="2"/>
            <w:noWrap w:val="0"/>
            <w:vAlign w:val="center"/>
          </w:tcPr>
          <w:p>
            <w:pPr>
              <w:spacing w:before="78" w:after="78" w:line="360" w:lineRule="auto"/>
              <w:jc w:val="left"/>
              <w:rPr>
                <w:rFonts w:hint="eastAsia" w:ascii="宋体" w:hAnsi="宋体" w:cs="宋体"/>
                <w:sz w:val="28"/>
                <w:szCs w:val="28"/>
              </w:rPr>
            </w:pPr>
            <w:r>
              <w:rPr>
                <w:rFonts w:hint="eastAsia" w:ascii="宋体" w:hAnsi="宋体" w:cs="宋体"/>
                <w:sz w:val="28"/>
                <w:szCs w:val="28"/>
              </w:rPr>
              <w:t>对转入专业的了解和认识程度、举止得体程度。</w:t>
            </w:r>
          </w:p>
        </w:tc>
        <w:tc>
          <w:tcPr>
            <w:tcW w:w="2075" w:type="dxa"/>
            <w:noWrap w:val="0"/>
            <w:vAlign w:val="center"/>
          </w:tcPr>
          <w:p>
            <w:pPr>
              <w:spacing w:before="78" w:after="78"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040" w:type="dxa"/>
            <w:noWrap w:val="0"/>
            <w:vAlign w:val="center"/>
          </w:tcPr>
          <w:p>
            <w:pPr>
              <w:spacing w:before="78" w:after="78" w:line="360" w:lineRule="auto"/>
              <w:jc w:val="center"/>
              <w:rPr>
                <w:rFonts w:hint="eastAsia" w:ascii="宋体" w:hAnsi="宋体" w:cs="宋体"/>
                <w:b/>
                <w:sz w:val="28"/>
                <w:szCs w:val="28"/>
              </w:rPr>
            </w:pPr>
            <w:r>
              <w:rPr>
                <w:rFonts w:hint="eastAsia" w:ascii="宋体" w:hAnsi="宋体" w:cs="宋体"/>
                <w:b/>
                <w:sz w:val="28"/>
                <w:szCs w:val="28"/>
              </w:rPr>
              <w:t>合计（100分）</w:t>
            </w:r>
          </w:p>
        </w:tc>
        <w:tc>
          <w:tcPr>
            <w:tcW w:w="6290" w:type="dxa"/>
            <w:gridSpan w:val="3"/>
            <w:noWrap w:val="0"/>
            <w:vAlign w:val="center"/>
          </w:tcPr>
          <w:p>
            <w:pPr>
              <w:spacing w:before="78" w:after="78" w:line="360" w:lineRule="auto"/>
              <w:jc w:val="center"/>
              <w:rPr>
                <w:rFonts w:hint="eastAsia" w:ascii="宋体" w:hAnsi="宋体" w:cs="宋体"/>
                <w:sz w:val="28"/>
                <w:szCs w:val="28"/>
              </w:rPr>
            </w:pPr>
          </w:p>
        </w:tc>
      </w:tr>
    </w:tbl>
    <w:p>
      <w:pPr>
        <w:spacing w:before="78" w:after="78" w:line="360" w:lineRule="auto"/>
        <w:ind w:right="640" w:firstLine="4697" w:firstLineChars="1462"/>
        <w:jc w:val="right"/>
        <w:rPr>
          <w:b/>
          <w:sz w:val="32"/>
          <w:szCs w:val="32"/>
        </w:rPr>
      </w:pPr>
    </w:p>
    <w:p>
      <w:pPr>
        <w:spacing w:before="78" w:after="78" w:line="360" w:lineRule="auto"/>
        <w:ind w:right="640"/>
        <w:jc w:val="center"/>
        <w:rPr>
          <w:b/>
          <w:sz w:val="32"/>
          <w:szCs w:val="32"/>
        </w:rPr>
      </w:pPr>
      <w:r>
        <w:rPr>
          <w:rFonts w:hint="eastAsia"/>
          <w:b/>
          <w:sz w:val="32"/>
          <w:szCs w:val="32"/>
        </w:rPr>
        <w:t xml:space="preserve">                评委签字：</w:t>
      </w:r>
      <w:r>
        <w:rPr>
          <w:b/>
          <w:sz w:val="32"/>
          <w:szCs w:val="32"/>
        </w:rPr>
        <w:t xml:space="preserve">     </w:t>
      </w:r>
    </w:p>
    <w:p>
      <w:pPr>
        <w:spacing w:before="78" w:after="78" w:line="360" w:lineRule="auto"/>
        <w:ind w:right="640"/>
        <w:jc w:val="right"/>
        <w:rPr>
          <w:rFonts w:hint="eastAsia" w:ascii="宋体" w:hAnsi="宋体"/>
          <w:sz w:val="28"/>
          <w:szCs w:val="28"/>
        </w:rPr>
        <w:sectPr>
          <w:pgSz w:w="11906" w:h="16838"/>
          <w:pgMar w:top="1134" w:right="1797" w:bottom="1134" w:left="1797" w:header="851" w:footer="992" w:gutter="0"/>
          <w:cols w:space="720" w:num="1"/>
          <w:docGrid w:type="lines" w:linePitch="312" w:charSpace="0"/>
        </w:sectPr>
      </w:pPr>
      <w:r>
        <w:rPr>
          <w:rFonts w:hint="eastAsia"/>
          <w:b/>
          <w:sz w:val="32"/>
          <w:szCs w:val="32"/>
        </w:rPr>
        <w:t>时</w:t>
      </w:r>
      <w:r>
        <w:rPr>
          <w:b/>
          <w:sz w:val="32"/>
          <w:szCs w:val="32"/>
        </w:rPr>
        <w:t xml:space="preserve">    </w:t>
      </w:r>
      <w:r>
        <w:rPr>
          <w:rFonts w:hint="eastAsia"/>
          <w:b/>
          <w:sz w:val="32"/>
          <w:szCs w:val="32"/>
        </w:rPr>
        <w:t xml:space="preserve">间：  </w:t>
      </w:r>
      <w:r>
        <w:rPr>
          <w:rFonts w:hint="eastAsia" w:ascii="宋体" w:hAnsi="宋体"/>
          <w:sz w:val="28"/>
          <w:szCs w:val="28"/>
        </w:rPr>
        <w:t>年  月  日</w:t>
      </w:r>
    </w:p>
    <w:p>
      <w:pPr>
        <w:spacing w:line="360" w:lineRule="auto"/>
        <w:rPr>
          <w:rFonts w:hint="eastAsia"/>
          <w:b/>
          <w:color w:val="000000"/>
          <w:sz w:val="36"/>
          <w:szCs w:val="36"/>
        </w:rPr>
      </w:pPr>
      <w:r>
        <w:rPr>
          <w:rFonts w:hint="eastAsia"/>
          <w:color w:val="000000"/>
        </w:rPr>
        <w:t>附件2</w:t>
      </w:r>
      <w:r>
        <w:rPr>
          <w:rFonts w:hint="eastAsia"/>
          <w:b/>
          <w:color w:val="000000"/>
          <w:sz w:val="36"/>
          <w:szCs w:val="36"/>
        </w:rPr>
        <w:t xml:space="preserve"> </w:t>
      </w:r>
    </w:p>
    <w:p>
      <w:pPr>
        <w:spacing w:line="360" w:lineRule="auto"/>
        <w:jc w:val="center"/>
        <w:rPr>
          <w:rFonts w:hint="eastAsia"/>
          <w:color w:val="000000"/>
          <w:sz w:val="32"/>
          <w:szCs w:val="32"/>
        </w:rPr>
      </w:pPr>
      <w:r>
        <w:rPr>
          <w:rFonts w:hint="eastAsia"/>
          <w:b/>
          <w:color w:val="000000"/>
          <w:sz w:val="32"/>
          <w:szCs w:val="32"/>
        </w:rPr>
        <w:t>“XXXX专业”转专业考核成绩汇总表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74"/>
        <w:gridCol w:w="1261"/>
        <w:gridCol w:w="1260"/>
        <w:gridCol w:w="1457"/>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2" w:type="dxa"/>
            <w:noWrap w:val="0"/>
            <w:vAlign w:val="center"/>
          </w:tcPr>
          <w:p>
            <w:pPr>
              <w:spacing w:line="360" w:lineRule="auto"/>
              <w:jc w:val="center"/>
              <w:rPr>
                <w:rFonts w:hint="eastAsia"/>
                <w:color w:val="000000"/>
              </w:rPr>
            </w:pPr>
            <w:r>
              <w:rPr>
                <w:rFonts w:hint="eastAsia"/>
                <w:color w:val="000000"/>
              </w:rPr>
              <w:t>序号</w:t>
            </w:r>
          </w:p>
        </w:tc>
        <w:tc>
          <w:tcPr>
            <w:tcW w:w="1074" w:type="dxa"/>
            <w:noWrap w:val="0"/>
            <w:vAlign w:val="center"/>
          </w:tcPr>
          <w:p>
            <w:pPr>
              <w:spacing w:line="360" w:lineRule="auto"/>
              <w:jc w:val="center"/>
              <w:rPr>
                <w:rFonts w:hint="eastAsia"/>
                <w:color w:val="000000"/>
              </w:rPr>
            </w:pPr>
            <w:r>
              <w:rPr>
                <w:rFonts w:hint="eastAsia"/>
                <w:color w:val="000000"/>
              </w:rPr>
              <w:t>姓名</w:t>
            </w:r>
          </w:p>
        </w:tc>
        <w:tc>
          <w:tcPr>
            <w:tcW w:w="1261" w:type="dxa"/>
            <w:noWrap w:val="0"/>
            <w:vAlign w:val="center"/>
          </w:tcPr>
          <w:p>
            <w:pPr>
              <w:spacing w:line="360" w:lineRule="auto"/>
              <w:jc w:val="center"/>
              <w:rPr>
                <w:rFonts w:hint="eastAsia"/>
                <w:color w:val="000000"/>
              </w:rPr>
            </w:pPr>
            <w:r>
              <w:rPr>
                <w:rFonts w:hint="eastAsia"/>
                <w:color w:val="000000"/>
              </w:rPr>
              <w:t>原专业</w:t>
            </w:r>
          </w:p>
        </w:tc>
        <w:tc>
          <w:tcPr>
            <w:tcW w:w="1260" w:type="dxa"/>
            <w:noWrap w:val="0"/>
            <w:vAlign w:val="center"/>
          </w:tcPr>
          <w:p>
            <w:pPr>
              <w:spacing w:line="360" w:lineRule="auto"/>
              <w:jc w:val="center"/>
              <w:rPr>
                <w:rFonts w:hint="eastAsia"/>
                <w:color w:val="000000"/>
              </w:rPr>
            </w:pPr>
            <w:r>
              <w:rPr>
                <w:rFonts w:hint="eastAsia"/>
                <w:color w:val="000000"/>
              </w:rPr>
              <w:t>高考基础成绩</w:t>
            </w:r>
          </w:p>
          <w:p>
            <w:pPr>
              <w:spacing w:line="360" w:lineRule="auto"/>
              <w:jc w:val="center"/>
              <w:rPr>
                <w:rFonts w:hint="eastAsia"/>
                <w:color w:val="000000"/>
              </w:rPr>
            </w:pPr>
            <w:r>
              <w:rPr>
                <w:rFonts w:hint="eastAsia"/>
                <w:color w:val="000000"/>
              </w:rPr>
              <w:t>（30%）</w:t>
            </w:r>
          </w:p>
        </w:tc>
        <w:tc>
          <w:tcPr>
            <w:tcW w:w="1457" w:type="dxa"/>
            <w:noWrap w:val="0"/>
            <w:vAlign w:val="center"/>
          </w:tcPr>
          <w:p>
            <w:pPr>
              <w:spacing w:line="360" w:lineRule="auto"/>
              <w:jc w:val="center"/>
              <w:rPr>
                <w:rFonts w:hint="eastAsia"/>
                <w:color w:val="000000"/>
              </w:rPr>
            </w:pPr>
            <w:r>
              <w:rPr>
                <w:rFonts w:hint="eastAsia"/>
                <w:color w:val="000000"/>
                <w:highlight w:val="none"/>
              </w:rPr>
              <w:t>微积分笔试成绩（30%）</w:t>
            </w:r>
          </w:p>
        </w:tc>
        <w:tc>
          <w:tcPr>
            <w:tcW w:w="1484" w:type="dxa"/>
            <w:noWrap w:val="0"/>
            <w:vAlign w:val="center"/>
          </w:tcPr>
          <w:p>
            <w:pPr>
              <w:spacing w:line="360" w:lineRule="auto"/>
              <w:jc w:val="center"/>
              <w:rPr>
                <w:rFonts w:hint="eastAsia"/>
                <w:color w:val="000000"/>
              </w:rPr>
            </w:pPr>
            <w:r>
              <w:rPr>
                <w:rFonts w:hint="eastAsia"/>
                <w:color w:val="000000"/>
              </w:rPr>
              <w:t>面试成绩</w:t>
            </w:r>
          </w:p>
          <w:p>
            <w:pPr>
              <w:spacing w:line="360" w:lineRule="auto"/>
              <w:jc w:val="center"/>
              <w:rPr>
                <w:rFonts w:hint="eastAsia"/>
                <w:color w:val="000000"/>
              </w:rPr>
            </w:pPr>
            <w:r>
              <w:rPr>
                <w:rFonts w:hint="eastAsia"/>
                <w:color w:val="000000"/>
              </w:rPr>
              <w:t>（40%）</w:t>
            </w:r>
          </w:p>
        </w:tc>
        <w:tc>
          <w:tcPr>
            <w:tcW w:w="1470" w:type="dxa"/>
            <w:noWrap w:val="0"/>
            <w:vAlign w:val="center"/>
          </w:tcPr>
          <w:p>
            <w:pPr>
              <w:spacing w:line="360" w:lineRule="auto"/>
              <w:jc w:val="center"/>
              <w:rPr>
                <w:rFonts w:hint="eastAsia"/>
                <w:color w:val="000000"/>
              </w:rPr>
            </w:pPr>
            <w:r>
              <w:rPr>
                <w:rFonts w:hint="eastAsia"/>
                <w:color w:val="000000"/>
              </w:rPr>
              <w:t>总成绩</w:t>
            </w:r>
          </w:p>
          <w:p>
            <w:pPr>
              <w:spacing w:line="360" w:lineRule="auto"/>
              <w:jc w:val="center"/>
              <w:rPr>
                <w:rFonts w:hint="eastAsia"/>
                <w:color w:val="000000"/>
              </w:rPr>
            </w:pPr>
            <w:r>
              <w:rPr>
                <w:rFonts w:hint="eastAsia"/>
                <w:color w:val="000000"/>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2</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3</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4</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5</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6</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7</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8</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 w:val="18"/>
                <w:szCs w:val="18"/>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9</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10</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11</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12</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13</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14</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15</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16</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17</w:t>
            </w:r>
          </w:p>
        </w:tc>
        <w:tc>
          <w:tcPr>
            <w:tcW w:w="1074" w:type="dxa"/>
            <w:noWrap w:val="0"/>
            <w:vAlign w:val="center"/>
          </w:tcPr>
          <w:p>
            <w:pPr>
              <w:widowControl/>
              <w:spacing w:line="360" w:lineRule="auto"/>
              <w:jc w:val="center"/>
              <w:rPr>
                <w:rFonts w:ascii="宋体" w:hAnsi="宋体" w:cs="宋体"/>
                <w:color w:val="000000"/>
                <w:kern w:val="0"/>
                <w:szCs w:val="21"/>
              </w:rPr>
            </w:pPr>
          </w:p>
        </w:tc>
        <w:tc>
          <w:tcPr>
            <w:tcW w:w="1261" w:type="dxa"/>
            <w:noWrap w:val="0"/>
            <w:vAlign w:val="center"/>
          </w:tcPr>
          <w:p>
            <w:pPr>
              <w:widowControl/>
              <w:spacing w:line="360" w:lineRule="auto"/>
              <w:jc w:val="center"/>
              <w:rPr>
                <w:rFonts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18</w:t>
            </w:r>
          </w:p>
        </w:tc>
        <w:tc>
          <w:tcPr>
            <w:tcW w:w="1074" w:type="dxa"/>
            <w:noWrap w:val="0"/>
            <w:vAlign w:val="center"/>
          </w:tcPr>
          <w:p>
            <w:pPr>
              <w:spacing w:line="360" w:lineRule="auto"/>
              <w:jc w:val="center"/>
              <w:rPr>
                <w:rFonts w:ascii="宋体" w:hAnsi="宋体" w:cs="宋体"/>
                <w:color w:val="000000"/>
                <w:sz w:val="22"/>
              </w:rPr>
            </w:pPr>
          </w:p>
        </w:tc>
        <w:tc>
          <w:tcPr>
            <w:tcW w:w="1261" w:type="dxa"/>
            <w:noWrap w:val="0"/>
            <w:vAlign w:val="center"/>
          </w:tcPr>
          <w:p>
            <w:pPr>
              <w:widowControl/>
              <w:spacing w:line="360" w:lineRule="auto"/>
              <w:jc w:val="center"/>
              <w:rPr>
                <w:rFonts w:hint="eastAsia"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color w:val="000000"/>
              </w:rPr>
            </w:pPr>
            <w:r>
              <w:rPr>
                <w:rFonts w:hint="eastAsia" w:ascii="宋体" w:hAnsi="宋体"/>
                <w:color w:val="000000"/>
              </w:rPr>
              <w:t>19</w:t>
            </w:r>
          </w:p>
        </w:tc>
        <w:tc>
          <w:tcPr>
            <w:tcW w:w="1074" w:type="dxa"/>
            <w:noWrap w:val="0"/>
            <w:vAlign w:val="center"/>
          </w:tcPr>
          <w:p>
            <w:pPr>
              <w:spacing w:line="360" w:lineRule="auto"/>
              <w:jc w:val="center"/>
              <w:rPr>
                <w:rFonts w:ascii="宋体" w:hAnsi="宋体" w:cs="宋体"/>
                <w:color w:val="000000"/>
                <w:sz w:val="22"/>
              </w:rPr>
            </w:pPr>
          </w:p>
        </w:tc>
        <w:tc>
          <w:tcPr>
            <w:tcW w:w="1261" w:type="dxa"/>
            <w:noWrap w:val="0"/>
            <w:vAlign w:val="center"/>
          </w:tcPr>
          <w:p>
            <w:pPr>
              <w:widowControl/>
              <w:spacing w:line="360" w:lineRule="auto"/>
              <w:jc w:val="center"/>
              <w:rPr>
                <w:rFonts w:hint="eastAsia" w:ascii="宋体" w:hAnsi="宋体" w:cs="宋体"/>
                <w:color w:val="000000"/>
                <w:kern w:val="0"/>
                <w:szCs w:val="21"/>
              </w:rPr>
            </w:pPr>
          </w:p>
        </w:tc>
        <w:tc>
          <w:tcPr>
            <w:tcW w:w="1260" w:type="dxa"/>
            <w:noWrap w:val="0"/>
            <w:vAlign w:val="top"/>
          </w:tcPr>
          <w:p>
            <w:pPr>
              <w:spacing w:line="360" w:lineRule="auto"/>
              <w:jc w:val="center"/>
              <w:rPr>
                <w:rFonts w:ascii="宋体" w:hAnsi="宋体" w:cs="宋体"/>
                <w:color w:val="000000"/>
                <w:sz w:val="24"/>
              </w:rPr>
            </w:pPr>
          </w:p>
        </w:tc>
        <w:tc>
          <w:tcPr>
            <w:tcW w:w="1457" w:type="dxa"/>
            <w:noWrap w:val="0"/>
            <w:vAlign w:val="bottom"/>
          </w:tcPr>
          <w:p>
            <w:pPr>
              <w:spacing w:line="360" w:lineRule="auto"/>
              <w:jc w:val="center"/>
              <w:rPr>
                <w:rFonts w:ascii="宋体" w:hAnsi="宋体" w:cs="宋体"/>
                <w:color w:val="000000"/>
                <w:sz w:val="24"/>
              </w:rPr>
            </w:pPr>
          </w:p>
        </w:tc>
        <w:tc>
          <w:tcPr>
            <w:tcW w:w="1484" w:type="dxa"/>
            <w:noWrap w:val="0"/>
            <w:vAlign w:val="bottom"/>
          </w:tcPr>
          <w:p>
            <w:pPr>
              <w:spacing w:line="360" w:lineRule="auto"/>
              <w:jc w:val="center"/>
              <w:rPr>
                <w:rFonts w:ascii="宋体" w:hAnsi="宋体" w:cs="宋体"/>
                <w:color w:val="000000"/>
                <w:sz w:val="24"/>
              </w:rPr>
            </w:pPr>
          </w:p>
        </w:tc>
        <w:tc>
          <w:tcPr>
            <w:tcW w:w="1470" w:type="dxa"/>
            <w:noWrap w:val="0"/>
            <w:vAlign w:val="bottom"/>
          </w:tcPr>
          <w:p>
            <w:pPr>
              <w:spacing w:line="360" w:lineRule="auto"/>
              <w:jc w:val="center"/>
              <w:rPr>
                <w:rFonts w:ascii="宋体" w:hAnsi="宋体" w:cs="宋体"/>
                <w:color w:val="000000"/>
                <w:sz w:val="24"/>
              </w:rPr>
            </w:pPr>
          </w:p>
        </w:tc>
      </w:tr>
    </w:tbl>
    <w:p>
      <w:pPr>
        <w:spacing w:line="360" w:lineRule="auto"/>
        <w:rPr>
          <w:rFonts w:hint="eastAsia"/>
          <w:color w:val="000000"/>
          <w:sz w:val="24"/>
        </w:rPr>
      </w:pPr>
    </w:p>
    <w:p>
      <w:pPr>
        <w:spacing w:line="360" w:lineRule="auto"/>
        <w:rPr>
          <w:rFonts w:hint="eastAsia"/>
          <w:color w:val="000000"/>
          <w:sz w:val="24"/>
        </w:rPr>
      </w:pPr>
      <w:r>
        <w:rPr>
          <w:rFonts w:hint="eastAsia"/>
          <w:color w:val="000000"/>
          <w:sz w:val="24"/>
        </w:rPr>
        <w:t>转专业工作小组签字：</w:t>
      </w:r>
    </w:p>
    <w:p>
      <w:pPr>
        <w:spacing w:line="360" w:lineRule="auto"/>
        <w:rPr>
          <w:color w:val="000000"/>
          <w:sz w:val="24"/>
        </w:rPr>
      </w:pPr>
    </w:p>
    <w:p>
      <w:pPr>
        <w:spacing w:line="360" w:lineRule="auto"/>
        <w:jc w:val="right"/>
        <w:rPr>
          <w:rFonts w:hint="eastAsia" w:ascii="宋体" w:hAnsi="宋体"/>
          <w:color w:val="000000"/>
          <w:sz w:val="24"/>
        </w:rPr>
      </w:pPr>
      <w:r>
        <w:rPr>
          <w:rFonts w:hint="eastAsia"/>
          <w:color w:val="000000"/>
          <w:sz w:val="24"/>
        </w:rPr>
        <w:t xml:space="preserve">XXXX学院（公章）                                                                                     </w:t>
      </w:r>
      <w:r>
        <w:rPr>
          <w:rFonts w:hint="eastAsia" w:ascii="宋体" w:hAnsi="宋体"/>
          <w:color w:val="000000"/>
          <w:sz w:val="24"/>
        </w:rPr>
        <w:t>年     月     日</w:t>
      </w:r>
    </w:p>
    <w:p>
      <w:pPr>
        <w:spacing w:before="78" w:after="78" w:line="360" w:lineRule="auto"/>
        <w:ind w:right="640"/>
        <w:rPr>
          <w:rFonts w:hint="eastAsia" w:ascii="宋体" w:hAnsi="宋体"/>
          <w:color w:val="000000"/>
          <w:sz w:val="28"/>
          <w:szCs w:val="28"/>
        </w:rPr>
        <w:sectPr>
          <w:pgSz w:w="11906" w:h="16838"/>
          <w:pgMar w:top="1134" w:right="1797" w:bottom="1134" w:left="1797" w:header="851" w:footer="992" w:gutter="0"/>
          <w:cols w:space="720" w:num="1"/>
          <w:docGrid w:type="lines" w:linePitch="312" w:charSpace="0"/>
        </w:sectPr>
      </w:pPr>
    </w:p>
    <w:p>
      <w:pPr>
        <w:spacing w:line="360" w:lineRule="auto"/>
        <w:rPr>
          <w:rFonts w:hint="eastAsia"/>
          <w:b/>
          <w:color w:val="000000"/>
          <w:sz w:val="32"/>
          <w:szCs w:val="32"/>
        </w:rPr>
      </w:pPr>
      <w:r>
        <w:rPr>
          <w:rFonts w:hint="eastAsia"/>
          <w:color w:val="000000"/>
          <w:sz w:val="24"/>
        </w:rPr>
        <w:t>附件3</w:t>
      </w:r>
    </w:p>
    <w:p>
      <w:pPr>
        <w:spacing w:line="360" w:lineRule="auto"/>
        <w:jc w:val="center"/>
        <w:rPr>
          <w:rFonts w:hint="eastAsia"/>
          <w:b/>
          <w:color w:val="000000"/>
          <w:sz w:val="32"/>
          <w:szCs w:val="32"/>
        </w:rPr>
      </w:pPr>
      <w:r>
        <w:rPr>
          <w:rFonts w:hint="eastAsia"/>
          <w:b/>
          <w:color w:val="000000"/>
          <w:sz w:val="32"/>
          <w:szCs w:val="32"/>
        </w:rPr>
        <w:t>“XXXX专业”转专业拟录取学生名单</w:t>
      </w:r>
    </w:p>
    <w:p>
      <w:pPr>
        <w:spacing w:line="360" w:lineRule="auto"/>
        <w:jc w:val="right"/>
        <w:rPr>
          <w:rFonts w:hint="eastAsia"/>
          <w:b/>
          <w:color w:val="000000"/>
          <w:sz w:val="22"/>
        </w:rPr>
      </w:pPr>
      <w:r>
        <w:rPr>
          <w:rFonts w:hint="eastAsia"/>
          <w:b/>
          <w:color w:val="000000"/>
          <w:sz w:val="22"/>
        </w:rPr>
        <w:t>（二级学院公章）</w:t>
      </w:r>
    </w:p>
    <w:tbl>
      <w:tblPr>
        <w:tblStyle w:val="4"/>
        <w:tblpPr w:leftFromText="180" w:rightFromText="180" w:vertAnchor="text" w:horzAnchor="margin" w:tblpXSpec="center" w:tblpY="158"/>
        <w:tblW w:w="0" w:type="auto"/>
        <w:tblInd w:w="0" w:type="dxa"/>
        <w:tblLayout w:type="fixed"/>
        <w:tblCellMar>
          <w:top w:w="0" w:type="dxa"/>
          <w:left w:w="108" w:type="dxa"/>
          <w:bottom w:w="0" w:type="dxa"/>
          <w:right w:w="108" w:type="dxa"/>
        </w:tblCellMar>
      </w:tblPr>
      <w:tblGrid>
        <w:gridCol w:w="718"/>
        <w:gridCol w:w="1324"/>
        <w:gridCol w:w="1676"/>
        <w:gridCol w:w="1905"/>
        <w:gridCol w:w="1905"/>
        <w:gridCol w:w="1000"/>
      </w:tblGrid>
      <w:tr>
        <w:tblPrEx>
          <w:tblCellMar>
            <w:top w:w="0" w:type="dxa"/>
            <w:left w:w="108" w:type="dxa"/>
            <w:bottom w:w="0" w:type="dxa"/>
            <w:right w:w="108" w:type="dxa"/>
          </w:tblCellMar>
        </w:tblPrEx>
        <w:trPr>
          <w:trHeight w:val="27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kern w:val="0"/>
                <w:sz w:val="22"/>
              </w:rPr>
            </w:pPr>
            <w:r>
              <w:rPr>
                <w:rFonts w:hint="eastAsia" w:ascii="宋体" w:hAnsi="宋体" w:cs="宋体"/>
                <w:b/>
                <w:bCs/>
                <w:color w:val="000000"/>
                <w:kern w:val="0"/>
                <w:sz w:val="22"/>
              </w:rPr>
              <w:t>序号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学号</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原二级学院</w:t>
            </w:r>
          </w:p>
        </w:tc>
        <w:tc>
          <w:tcPr>
            <w:tcW w:w="190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原专业</w:t>
            </w:r>
          </w:p>
        </w:tc>
        <w:tc>
          <w:tcPr>
            <w:tcW w:w="100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cs="宋体"/>
                <w:b/>
                <w:bCs/>
                <w:color w:val="000000"/>
                <w:kern w:val="0"/>
                <w:sz w:val="22"/>
              </w:rPr>
            </w:pPr>
            <w:r>
              <w:rPr>
                <w:rFonts w:hint="eastAsia" w:ascii="宋体" w:hAnsi="宋体" w:cs="宋体"/>
                <w:b/>
                <w:bCs/>
                <w:color w:val="000000"/>
                <w:kern w:val="0"/>
                <w:sz w:val="22"/>
              </w:rPr>
              <w:t>考核总排名</w:t>
            </w: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132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Cs w:val="21"/>
              </w:rPr>
            </w:pPr>
          </w:p>
        </w:tc>
      </w:tr>
    </w:tbl>
    <w:p>
      <w:pPr>
        <w:rPr>
          <w:rFonts w:hint="eastAsia" w:ascii="仿宋" w:hAnsi="仿宋" w:eastAsia="仿宋" w:cs="仿宋"/>
          <w:sz w:val="32"/>
          <w:szCs w:val="32"/>
        </w:rPr>
      </w:pPr>
    </w:p>
    <w:p>
      <w:pPr>
        <w:jc w:val="center"/>
        <w:rPr>
          <w:rFonts w:hint="default" w:asciiTheme="majorEastAsia" w:hAnsiTheme="majorEastAsia" w:eastAsiaTheme="majorEastAsia" w:cstheme="majorEastAsia"/>
          <w:b w:val="0"/>
          <w:bCs w:val="0"/>
          <w:sz w:val="44"/>
          <w:szCs w:val="44"/>
          <w:highlight w:val="none"/>
          <w:lang w:val="en-US" w:eastAsia="zh-CN"/>
        </w:rPr>
      </w:pPr>
    </w:p>
    <w:p>
      <w:pPr>
        <w:jc w:val="center"/>
        <w:rPr>
          <w:rFonts w:hint="default" w:asciiTheme="majorEastAsia" w:hAnsiTheme="majorEastAsia" w:eastAsiaTheme="majorEastAsia" w:cstheme="majorEastAsia"/>
          <w:b w:val="0"/>
          <w:bCs w:val="0"/>
          <w:sz w:val="44"/>
          <w:szCs w:val="44"/>
          <w:highlight w:val="none"/>
          <w:lang w:val="en-US" w:eastAsia="zh-CN"/>
        </w:rPr>
      </w:pPr>
    </w:p>
    <w:p>
      <w:pPr>
        <w:pStyle w:val="2"/>
        <w:bidi w:val="0"/>
        <w:jc w:val="center"/>
        <w:rPr>
          <w:rFonts w:hint="eastAsia"/>
          <w:highlight w:val="none"/>
        </w:rPr>
      </w:pPr>
      <w:r>
        <w:rPr>
          <w:rFonts w:hint="eastAsia"/>
          <w:highlight w:val="none"/>
          <w:lang w:val="en-US" w:eastAsia="zh-CN"/>
        </w:rPr>
        <w:t>贵州商学院</w:t>
      </w:r>
      <w:r>
        <w:rPr>
          <w:rFonts w:hint="eastAsia"/>
          <w:highlight w:val="none"/>
          <w:lang w:eastAsia="zh-CN"/>
        </w:rPr>
        <w:t>管理</w:t>
      </w:r>
      <w:r>
        <w:rPr>
          <w:rFonts w:hint="eastAsia"/>
          <w:highlight w:val="none"/>
        </w:rPr>
        <w:t>学院</w:t>
      </w:r>
    </w:p>
    <w:p>
      <w:pPr>
        <w:pStyle w:val="2"/>
        <w:bidi w:val="0"/>
        <w:jc w:val="center"/>
        <w:rPr>
          <w:rFonts w:hint="eastAsia"/>
          <w:highlight w:val="none"/>
        </w:rPr>
      </w:pPr>
      <w:r>
        <w:rPr>
          <w:rFonts w:hint="eastAsia"/>
          <w:highlight w:val="none"/>
          <w:lang w:val="en-US" w:eastAsia="zh-CN"/>
        </w:rPr>
        <w:t>2020—2021学年第1学期</w:t>
      </w:r>
      <w:r>
        <w:rPr>
          <w:rFonts w:hint="eastAsia"/>
          <w:highlight w:val="none"/>
          <w:lang w:eastAsia="zh-CN"/>
        </w:rPr>
        <w:t>学生</w:t>
      </w:r>
      <w:r>
        <w:rPr>
          <w:rFonts w:hint="eastAsia"/>
          <w:highlight w:val="none"/>
        </w:rPr>
        <w:t>转专业考核办法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根据《贵州商学院学生转专业管理细则（修订）》的文件精神，按照公正、公平、科学、严谨的原则，结合管理学院各专业实际情况，现制定管理学院2020-2021学年第一学期接收转专业学生工作方案如下：</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第一条  成立管理学院转专业工作小组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组长：田  歆  章迪诚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成员：曾方俊  赵  翔  余  菲  李  莉  韦海燕  </w:t>
      </w:r>
    </w:p>
    <w:p>
      <w:pPr>
        <w:spacing w:line="560" w:lineRule="exact"/>
        <w:ind w:firstLine="1500" w:firstLineChars="500"/>
        <w:rPr>
          <w:rFonts w:ascii="仿宋" w:hAnsi="仿宋" w:eastAsia="仿宋" w:cs="仿宋"/>
          <w:sz w:val="30"/>
          <w:szCs w:val="30"/>
        </w:rPr>
      </w:pPr>
      <w:r>
        <w:rPr>
          <w:rFonts w:hint="eastAsia" w:ascii="仿宋" w:hAnsi="仿宋" w:eastAsia="仿宋" w:cs="仿宋"/>
          <w:sz w:val="30"/>
          <w:szCs w:val="30"/>
        </w:rPr>
        <w:t>蒙  慧  张  盛  刘光宗  戚宏亮</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第二条  接收专业、名额及条件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1.接收专业：物流管理、市场营销、人力资源管理、工商管理、管理科学、公共事务管理，均为本科专业。其中2020级学生可在全校范围内申请转专业，2019级学生只能在本二级学院内申请转专业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2.接收名额：2020级每个专业可接收转专业学生各5人，2019级每个专业可接收本二级学院转专业学生各3名。（转入管理科学、公共事务管理专业须为理科生）。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3.接收条件：符合《贵州商学院学生转专业管理细则（修订）》中“第二章  转专业条件和原则”的规定，且在校期间无违反法律法规和校纪校规行为、已修读课程的考试（考核）成绩均无挂科。贵州商学院2020级在校学生，转入物流管理、管理科学、公共事务管理专业的学生，高考数学成绩须在及格以上。</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第三条  考核时间及时间安排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时间：（待定）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地点：尚信楼A区401教室。</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第四条  考核办法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1.考核成绩包括学习基础成绩（占50%）、面试成绩（占50%），按照得分从高到低确定预录取名单。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2.学习基础成绩考核</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学习基础成绩=第一学期绩点</w:t>
      </w:r>
      <w:r>
        <w:rPr>
          <w:rFonts w:hint="eastAsia" w:ascii="仿宋" w:hAnsi="仿宋" w:eastAsia="仿宋" w:cs="仿宋"/>
          <w:sz w:val="30"/>
          <w:szCs w:val="30"/>
        </w:rPr>
        <w:sym w:font="Wingdings 2" w:char="F0CD"/>
      </w:r>
      <w:r>
        <w:rPr>
          <w:rFonts w:hint="eastAsia" w:ascii="仿宋" w:hAnsi="仿宋" w:eastAsia="仿宋" w:cs="仿宋"/>
          <w:sz w:val="30"/>
          <w:szCs w:val="30"/>
        </w:rPr>
        <w:t>10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3.面试考核</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由评委按照面试评分标准进行打分，面试环节主要考核学生对拟转入专业的了解和认识程度、逻辑思维状况、表达能力等素养。面试成绩为所有评委评分的平均分（四舍五入后保留两位小数）。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4.如申请转入学生过多，各专业依据“第一学期绩点优先”原则，按可转入名额的150%确定进入面试学生名单。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5.预录取名单经管理学院党政联席会议审议后，报学校教务处进行公示后确定。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附件：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1.管理学院转专业面试评分表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2.管理学院转专业考核成绩汇总表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3.管理学院转专业拟录取学生名单</w:t>
      </w:r>
    </w:p>
    <w:p>
      <w:pPr>
        <w:ind w:firstLine="645"/>
        <w:rPr>
          <w:rFonts w:ascii="仿宋" w:hAnsi="仿宋" w:eastAsia="仿宋" w:cs="仿宋"/>
          <w:sz w:val="30"/>
          <w:szCs w:val="30"/>
        </w:rPr>
      </w:pPr>
      <w:r>
        <w:rPr>
          <w:rFonts w:hint="eastAsia" w:ascii="仿宋" w:hAnsi="仿宋" w:eastAsia="仿宋" w:cs="仿宋"/>
          <w:sz w:val="30"/>
          <w:szCs w:val="30"/>
        </w:rPr>
        <w:t xml:space="preserve">                                        </w:t>
      </w:r>
    </w:p>
    <w:p>
      <w:pPr>
        <w:ind w:firstLine="645"/>
        <w:rPr>
          <w:rFonts w:ascii="仿宋" w:hAnsi="仿宋" w:eastAsia="仿宋" w:cs="仿宋"/>
          <w:sz w:val="30"/>
          <w:szCs w:val="30"/>
        </w:rPr>
      </w:pPr>
    </w:p>
    <w:p>
      <w:pPr>
        <w:ind w:firstLine="645"/>
        <w:rPr>
          <w:rFonts w:ascii="仿宋" w:hAnsi="仿宋" w:eastAsia="仿宋" w:cs="仿宋"/>
          <w:sz w:val="30"/>
          <w:szCs w:val="30"/>
        </w:rPr>
      </w:pPr>
    </w:p>
    <w:p>
      <w:pPr>
        <w:ind w:firstLine="6150" w:firstLineChars="2050"/>
        <w:rPr>
          <w:rFonts w:ascii="仿宋" w:hAnsi="仿宋" w:eastAsia="仿宋" w:cs="仿宋"/>
          <w:sz w:val="30"/>
          <w:szCs w:val="30"/>
        </w:rPr>
      </w:pPr>
      <w:r>
        <w:rPr>
          <w:rFonts w:hint="eastAsia" w:ascii="仿宋" w:hAnsi="仿宋" w:eastAsia="仿宋" w:cs="仿宋"/>
          <w:sz w:val="30"/>
          <w:szCs w:val="30"/>
        </w:rPr>
        <w:t>管理学院</w:t>
      </w:r>
    </w:p>
    <w:p>
      <w:pPr>
        <w:ind w:firstLine="645"/>
        <w:rPr>
          <w:rFonts w:ascii="仿宋" w:hAnsi="仿宋" w:eastAsia="仿宋" w:cs="仿宋"/>
          <w:sz w:val="30"/>
          <w:szCs w:val="30"/>
        </w:rPr>
      </w:pPr>
      <w:r>
        <w:rPr>
          <w:rFonts w:hint="eastAsia" w:ascii="仿宋" w:hAnsi="仿宋" w:eastAsia="仿宋" w:cs="仿宋"/>
          <w:sz w:val="30"/>
          <w:szCs w:val="30"/>
        </w:rPr>
        <w:t xml:space="preserve">                                 2020年11月23日</w:t>
      </w:r>
    </w:p>
    <w:p>
      <w:pPr>
        <w:spacing w:before="78" w:after="78"/>
        <w:rPr>
          <w:rFonts w:ascii="Times New Roman" w:hAnsi="Times New Roman" w:eastAsia="宋体" w:cs="Times New Roman"/>
          <w:sz w:val="28"/>
          <w:szCs w:val="28"/>
        </w:rPr>
      </w:pPr>
    </w:p>
    <w:p>
      <w:pPr>
        <w:spacing w:before="78" w:after="78"/>
        <w:rPr>
          <w:rFonts w:hint="eastAsia" w:ascii="Times New Roman" w:hAnsi="Times New Roman" w:eastAsia="宋体" w:cs="Times New Roman"/>
          <w:sz w:val="28"/>
          <w:szCs w:val="28"/>
        </w:rPr>
      </w:pPr>
    </w:p>
    <w:p>
      <w:pPr>
        <w:spacing w:before="78" w:after="78"/>
        <w:rPr>
          <w:rFonts w:ascii="Times New Roman" w:hAnsi="Times New Roman" w:eastAsia="宋体" w:cs="Times New Roman"/>
          <w:b/>
          <w:sz w:val="28"/>
          <w:szCs w:val="28"/>
        </w:rPr>
      </w:pPr>
      <w:r>
        <w:rPr>
          <w:rFonts w:hint="eastAsia" w:ascii="Times New Roman" w:hAnsi="Times New Roman" w:eastAsia="宋体" w:cs="Times New Roman"/>
          <w:sz w:val="28"/>
          <w:szCs w:val="28"/>
        </w:rPr>
        <w:t>附件1</w:t>
      </w:r>
    </w:p>
    <w:tbl>
      <w:tblPr>
        <w:tblStyle w:val="4"/>
        <w:tblpPr w:leftFromText="180" w:rightFromText="180" w:vertAnchor="page" w:horzAnchor="margin" w:tblpY="28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04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660" w:type="dxa"/>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姓</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名</w:t>
            </w:r>
          </w:p>
        </w:tc>
        <w:tc>
          <w:tcPr>
            <w:tcW w:w="2551" w:type="dxa"/>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性  别</w:t>
            </w:r>
          </w:p>
        </w:tc>
        <w:tc>
          <w:tcPr>
            <w:tcW w:w="3119" w:type="dxa"/>
            <w:gridSpan w:val="2"/>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660" w:type="dxa"/>
            <w:vAlign w:val="center"/>
          </w:tcPr>
          <w:p>
            <w:pPr>
              <w:spacing w:before="78" w:after="78"/>
              <w:jc w:val="center"/>
              <w:rPr>
                <w:rFonts w:ascii="Times New Roman" w:hAnsi="Times New Roman" w:eastAsia="宋体" w:cs="Times New Roman"/>
                <w:b/>
                <w:sz w:val="28"/>
                <w:szCs w:val="28"/>
              </w:rPr>
            </w:pPr>
          </w:p>
        </w:tc>
        <w:tc>
          <w:tcPr>
            <w:tcW w:w="2551" w:type="dxa"/>
            <w:vAlign w:val="center"/>
          </w:tcPr>
          <w:p>
            <w:pPr>
              <w:spacing w:before="78" w:after="78"/>
              <w:jc w:val="center"/>
              <w:rPr>
                <w:rFonts w:ascii="Times New Roman" w:hAnsi="Times New Roman" w:eastAsia="宋体" w:cs="Times New Roman"/>
                <w:b/>
                <w:sz w:val="28"/>
                <w:szCs w:val="28"/>
              </w:rPr>
            </w:pPr>
          </w:p>
        </w:tc>
        <w:tc>
          <w:tcPr>
            <w:tcW w:w="3119" w:type="dxa"/>
            <w:gridSpan w:val="2"/>
            <w:vAlign w:val="center"/>
          </w:tcPr>
          <w:p>
            <w:pPr>
              <w:spacing w:before="78" w:after="78"/>
              <w:jc w:val="center"/>
              <w:rPr>
                <w:rFonts w:ascii="Times New Roman" w:hAnsi="Times New Roman" w:eastAsia="宋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660" w:type="dxa"/>
            <w:vAlign w:val="center"/>
          </w:tcPr>
          <w:p>
            <w:pPr>
              <w:spacing w:before="78" w:after="78"/>
              <w:jc w:val="center"/>
              <w:rPr>
                <w:rFonts w:ascii="Times New Roman" w:hAnsi="Times New Roman" w:eastAsia="宋体" w:cs="Times New Roman"/>
                <w:sz w:val="28"/>
                <w:szCs w:val="28"/>
              </w:rPr>
            </w:pPr>
            <w:r>
              <w:rPr>
                <w:rFonts w:hint="eastAsia" w:ascii="Times New Roman" w:hAnsi="Times New Roman" w:eastAsia="宋体" w:cs="Times New Roman"/>
                <w:b/>
                <w:sz w:val="28"/>
                <w:szCs w:val="28"/>
              </w:rPr>
              <w:t>原专业</w:t>
            </w:r>
          </w:p>
        </w:tc>
        <w:tc>
          <w:tcPr>
            <w:tcW w:w="2551" w:type="dxa"/>
            <w:vAlign w:val="center"/>
          </w:tcPr>
          <w:p>
            <w:pPr>
              <w:spacing w:before="78" w:after="78"/>
              <w:jc w:val="center"/>
              <w:rPr>
                <w:rFonts w:ascii="Times New Roman" w:hAnsi="Times New Roman" w:eastAsia="宋体" w:cs="Times New Roman"/>
                <w:sz w:val="28"/>
                <w:szCs w:val="28"/>
              </w:rPr>
            </w:pPr>
            <w:r>
              <w:rPr>
                <w:rFonts w:hint="eastAsia" w:ascii="Times New Roman" w:hAnsi="Times New Roman" w:eastAsia="宋体" w:cs="Times New Roman"/>
                <w:b/>
                <w:sz w:val="28"/>
                <w:szCs w:val="28"/>
              </w:rPr>
              <w:t>原班级</w:t>
            </w:r>
          </w:p>
        </w:tc>
        <w:tc>
          <w:tcPr>
            <w:tcW w:w="3119" w:type="dxa"/>
            <w:gridSpan w:val="2"/>
            <w:vAlign w:val="center"/>
          </w:tcPr>
          <w:p>
            <w:pPr>
              <w:spacing w:before="78" w:after="78"/>
              <w:jc w:val="center"/>
              <w:rPr>
                <w:rFonts w:ascii="Times New Roman" w:hAnsi="Times New Roman" w:eastAsia="宋体" w:cs="Times New Roman"/>
                <w:sz w:val="28"/>
                <w:szCs w:val="28"/>
              </w:rPr>
            </w:pPr>
            <w:r>
              <w:rPr>
                <w:rFonts w:hint="eastAsia" w:ascii="Times New Roman" w:hAnsi="Times New Roman" w:eastAsia="宋体" w:cs="Times New Roman"/>
                <w:b/>
                <w:sz w:val="28"/>
                <w:szCs w:val="28"/>
              </w:rPr>
              <w:t>拟转入专业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660" w:type="dxa"/>
            <w:vAlign w:val="center"/>
          </w:tcPr>
          <w:p>
            <w:pPr>
              <w:spacing w:before="78" w:after="78"/>
              <w:jc w:val="center"/>
              <w:rPr>
                <w:rFonts w:ascii="Times New Roman" w:hAnsi="Times New Roman" w:eastAsia="宋体" w:cs="Times New Roman"/>
                <w:sz w:val="28"/>
                <w:szCs w:val="28"/>
              </w:rPr>
            </w:pPr>
          </w:p>
        </w:tc>
        <w:tc>
          <w:tcPr>
            <w:tcW w:w="2551" w:type="dxa"/>
            <w:vAlign w:val="center"/>
          </w:tcPr>
          <w:p>
            <w:pPr>
              <w:spacing w:before="78" w:after="78"/>
              <w:jc w:val="center"/>
              <w:rPr>
                <w:rFonts w:ascii="Times New Roman" w:hAnsi="Times New Roman" w:eastAsia="宋体" w:cs="Times New Roman"/>
                <w:sz w:val="28"/>
                <w:szCs w:val="28"/>
              </w:rPr>
            </w:pPr>
          </w:p>
        </w:tc>
        <w:tc>
          <w:tcPr>
            <w:tcW w:w="3119" w:type="dxa"/>
            <w:gridSpan w:val="2"/>
            <w:vAlign w:val="center"/>
          </w:tcPr>
          <w:p>
            <w:pPr>
              <w:spacing w:before="78" w:after="78"/>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60" w:type="dxa"/>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知识与能力</w:t>
            </w:r>
          </w:p>
        </w:tc>
        <w:tc>
          <w:tcPr>
            <w:tcW w:w="3595" w:type="dxa"/>
            <w:gridSpan w:val="2"/>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考核点</w:t>
            </w:r>
          </w:p>
        </w:tc>
        <w:tc>
          <w:tcPr>
            <w:tcW w:w="2075" w:type="dxa"/>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2660" w:type="dxa"/>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表达能力</w:t>
            </w:r>
          </w:p>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w:t>
            </w:r>
            <w:r>
              <w:rPr>
                <w:rFonts w:ascii="Times New Roman" w:hAnsi="Times New Roman" w:eastAsia="宋体" w:cs="Times New Roman"/>
                <w:b/>
                <w:sz w:val="28"/>
                <w:szCs w:val="28"/>
              </w:rPr>
              <w:t>20</w:t>
            </w:r>
            <w:r>
              <w:rPr>
                <w:rFonts w:hint="eastAsia" w:ascii="Times New Roman" w:hAnsi="Times New Roman" w:eastAsia="宋体" w:cs="Times New Roman"/>
                <w:b/>
                <w:sz w:val="28"/>
                <w:szCs w:val="28"/>
              </w:rPr>
              <w:t>分）</w:t>
            </w:r>
          </w:p>
        </w:tc>
        <w:tc>
          <w:tcPr>
            <w:tcW w:w="3595" w:type="dxa"/>
            <w:gridSpan w:val="2"/>
            <w:vAlign w:val="center"/>
          </w:tcPr>
          <w:p>
            <w:pPr>
              <w:spacing w:before="78" w:after="78"/>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自我介绍表述能力、沟通能力、表达方式的恰当性。</w:t>
            </w:r>
          </w:p>
        </w:tc>
        <w:tc>
          <w:tcPr>
            <w:tcW w:w="2075" w:type="dxa"/>
            <w:vAlign w:val="center"/>
          </w:tcPr>
          <w:p>
            <w:pPr>
              <w:spacing w:before="78" w:after="78"/>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660" w:type="dxa"/>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基础知识</w:t>
            </w:r>
          </w:p>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w:t>
            </w:r>
            <w:r>
              <w:rPr>
                <w:rFonts w:ascii="Times New Roman" w:hAnsi="Times New Roman" w:eastAsia="宋体" w:cs="Times New Roman"/>
                <w:b/>
                <w:sz w:val="28"/>
                <w:szCs w:val="28"/>
              </w:rPr>
              <w:t>30</w:t>
            </w:r>
            <w:r>
              <w:rPr>
                <w:rFonts w:hint="eastAsia" w:ascii="Times New Roman" w:hAnsi="Times New Roman" w:eastAsia="宋体" w:cs="Times New Roman"/>
                <w:b/>
                <w:sz w:val="28"/>
                <w:szCs w:val="28"/>
              </w:rPr>
              <w:t>分）</w:t>
            </w:r>
          </w:p>
        </w:tc>
        <w:tc>
          <w:tcPr>
            <w:tcW w:w="3595" w:type="dxa"/>
            <w:gridSpan w:val="2"/>
            <w:vAlign w:val="center"/>
          </w:tcPr>
          <w:p>
            <w:pPr>
              <w:spacing w:before="78" w:after="78"/>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逻辑思维是否清晰、表达是否流畅、对知识的掌握程度。</w:t>
            </w:r>
          </w:p>
        </w:tc>
        <w:tc>
          <w:tcPr>
            <w:tcW w:w="2075" w:type="dxa"/>
            <w:vAlign w:val="center"/>
          </w:tcPr>
          <w:p>
            <w:pPr>
              <w:spacing w:before="78" w:after="78"/>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2660" w:type="dxa"/>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综合知识</w:t>
            </w:r>
          </w:p>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w:t>
            </w:r>
            <w:r>
              <w:rPr>
                <w:rFonts w:ascii="Times New Roman" w:hAnsi="Times New Roman" w:eastAsia="宋体" w:cs="Times New Roman"/>
                <w:b/>
                <w:sz w:val="28"/>
                <w:szCs w:val="28"/>
              </w:rPr>
              <w:t>50</w:t>
            </w:r>
            <w:r>
              <w:rPr>
                <w:rFonts w:hint="eastAsia" w:ascii="Times New Roman" w:hAnsi="Times New Roman" w:eastAsia="宋体" w:cs="Times New Roman"/>
                <w:b/>
                <w:sz w:val="28"/>
                <w:szCs w:val="28"/>
              </w:rPr>
              <w:t>分）</w:t>
            </w:r>
          </w:p>
        </w:tc>
        <w:tc>
          <w:tcPr>
            <w:tcW w:w="3595" w:type="dxa"/>
            <w:gridSpan w:val="2"/>
            <w:vAlign w:val="center"/>
          </w:tcPr>
          <w:p>
            <w:pPr>
              <w:spacing w:before="78" w:after="78"/>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对转入专业的了解和认识程度、举止得体程度。</w:t>
            </w:r>
          </w:p>
        </w:tc>
        <w:tc>
          <w:tcPr>
            <w:tcW w:w="2075" w:type="dxa"/>
            <w:vAlign w:val="center"/>
          </w:tcPr>
          <w:p>
            <w:pPr>
              <w:spacing w:before="78" w:after="78"/>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660" w:type="dxa"/>
            <w:vAlign w:val="center"/>
          </w:tcPr>
          <w:p>
            <w:pPr>
              <w:spacing w:before="78" w:after="78"/>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合计（</w:t>
            </w:r>
            <w:r>
              <w:rPr>
                <w:rFonts w:ascii="Times New Roman" w:hAnsi="Times New Roman" w:eastAsia="宋体" w:cs="Times New Roman"/>
                <w:b/>
                <w:sz w:val="28"/>
                <w:szCs w:val="28"/>
              </w:rPr>
              <w:t>100</w:t>
            </w:r>
            <w:r>
              <w:rPr>
                <w:rFonts w:hint="eastAsia" w:ascii="Times New Roman" w:hAnsi="Times New Roman" w:eastAsia="宋体" w:cs="Times New Roman"/>
                <w:b/>
                <w:sz w:val="28"/>
                <w:szCs w:val="28"/>
              </w:rPr>
              <w:t>分）</w:t>
            </w:r>
          </w:p>
        </w:tc>
        <w:tc>
          <w:tcPr>
            <w:tcW w:w="5670" w:type="dxa"/>
            <w:gridSpan w:val="3"/>
            <w:vAlign w:val="center"/>
          </w:tcPr>
          <w:p>
            <w:pPr>
              <w:spacing w:before="78" w:after="78"/>
              <w:jc w:val="center"/>
              <w:rPr>
                <w:rFonts w:ascii="Times New Roman" w:hAnsi="Times New Roman" w:eastAsia="宋体" w:cs="Times New Roman"/>
                <w:sz w:val="28"/>
                <w:szCs w:val="28"/>
              </w:rPr>
            </w:pPr>
          </w:p>
        </w:tc>
      </w:tr>
    </w:tbl>
    <w:p>
      <w:pPr>
        <w:spacing w:before="78" w:after="78"/>
        <w:ind w:firstLine="482" w:firstLineChars="150"/>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管理学院转专业面试评分表</w:t>
      </w:r>
    </w:p>
    <w:p>
      <w:pPr>
        <w:spacing w:before="78" w:after="78"/>
        <w:rPr>
          <w:rFonts w:ascii="Times New Roman" w:hAnsi="Times New Roman" w:eastAsia="宋体" w:cs="Times New Roman"/>
          <w:sz w:val="24"/>
          <w:szCs w:val="24"/>
        </w:rPr>
      </w:pPr>
    </w:p>
    <w:p>
      <w:pPr>
        <w:spacing w:before="78" w:after="78"/>
        <w:rPr>
          <w:rFonts w:ascii="Times New Roman" w:hAnsi="Times New Roman" w:eastAsia="宋体" w:cs="Times New Roman"/>
          <w:sz w:val="24"/>
          <w:szCs w:val="24"/>
        </w:rPr>
      </w:pPr>
    </w:p>
    <w:p>
      <w:pPr>
        <w:spacing w:before="78" w:after="78"/>
        <w:rPr>
          <w:rFonts w:ascii="Times New Roman" w:hAnsi="Times New Roman" w:eastAsia="宋体" w:cs="Times New Roman"/>
          <w:sz w:val="24"/>
          <w:szCs w:val="24"/>
        </w:rPr>
      </w:pPr>
    </w:p>
    <w:p>
      <w:pPr>
        <w:spacing w:before="78" w:after="78"/>
        <w:ind w:right="640" w:firstLine="1205" w:firstLineChars="500"/>
        <w:rPr>
          <w:rFonts w:ascii="Times New Roman" w:hAnsi="Times New Roman" w:eastAsia="宋体" w:cs="Times New Roman"/>
          <w:b/>
          <w:sz w:val="24"/>
          <w:szCs w:val="24"/>
        </w:rPr>
      </w:pPr>
    </w:p>
    <w:p>
      <w:pPr>
        <w:spacing w:before="78" w:after="78"/>
        <w:ind w:right="640" w:firstLine="4698" w:firstLineChars="1950"/>
        <w:rPr>
          <w:rFonts w:ascii="Times New Roman" w:hAnsi="Times New Roman" w:eastAsia="宋体" w:cs="Times New Roman"/>
          <w:b/>
          <w:sz w:val="24"/>
          <w:szCs w:val="24"/>
        </w:rPr>
      </w:pPr>
      <w:r>
        <w:rPr>
          <w:rFonts w:hint="eastAsia" w:ascii="Times New Roman" w:hAnsi="Times New Roman" w:eastAsia="宋体" w:cs="Times New Roman"/>
          <w:b/>
          <w:sz w:val="24"/>
          <w:szCs w:val="24"/>
        </w:rPr>
        <w:t>评委签字：</w:t>
      </w:r>
      <w:r>
        <w:rPr>
          <w:rFonts w:ascii="Times New Roman" w:hAnsi="Times New Roman" w:eastAsia="宋体" w:cs="Times New Roman"/>
          <w:b/>
          <w:sz w:val="24"/>
          <w:szCs w:val="24"/>
        </w:rPr>
        <w:t xml:space="preserve">     </w:t>
      </w:r>
    </w:p>
    <w:p>
      <w:pPr>
        <w:spacing w:before="78" w:after="78"/>
        <w:ind w:right="640"/>
        <w:jc w:val="right"/>
        <w:rPr>
          <w:rFonts w:ascii="宋体" w:hAnsi="宋体" w:eastAsia="宋体" w:cs="Times New Roman"/>
          <w:sz w:val="24"/>
          <w:szCs w:val="24"/>
        </w:rPr>
        <w:sectPr>
          <w:pgSz w:w="11906" w:h="16838"/>
          <w:pgMar w:top="1134" w:right="1797" w:bottom="1134" w:left="1797" w:header="851" w:footer="992" w:gutter="0"/>
          <w:cols w:space="720" w:num="1"/>
          <w:docGrid w:type="lines" w:linePitch="312" w:charSpace="0"/>
        </w:sectPr>
      </w:pPr>
      <w:r>
        <w:rPr>
          <w:rFonts w:hint="eastAsia" w:ascii="Times New Roman" w:hAnsi="Times New Roman" w:eastAsia="宋体" w:cs="Times New Roman"/>
          <w:b/>
          <w:sz w:val="24"/>
          <w:szCs w:val="24"/>
        </w:rPr>
        <w:t>时</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 xml:space="preserve">间：   </w:t>
      </w:r>
      <w:r>
        <w:rPr>
          <w:rFonts w:hint="eastAsia" w:ascii="宋体" w:hAnsi="宋体" w:eastAsia="宋体" w:cs="Times New Roman"/>
          <w:sz w:val="24"/>
          <w:szCs w:val="24"/>
        </w:rPr>
        <w:t>年   月   日</w:t>
      </w:r>
    </w:p>
    <w:p>
      <w:pPr>
        <w:spacing w:line="360" w:lineRule="auto"/>
        <w:rPr>
          <w:rFonts w:ascii="Times New Roman" w:hAnsi="Times New Roman" w:eastAsia="宋体" w:cs="Times New Roman"/>
          <w:b/>
          <w:sz w:val="28"/>
          <w:szCs w:val="28"/>
        </w:rPr>
      </w:pPr>
      <w:r>
        <w:rPr>
          <w:rFonts w:hint="eastAsia" w:ascii="Times New Roman" w:hAnsi="Times New Roman" w:eastAsia="宋体" w:cs="Times New Roman"/>
          <w:sz w:val="28"/>
          <w:szCs w:val="28"/>
        </w:rPr>
        <w:t>附件2</w:t>
      </w:r>
      <w:r>
        <w:rPr>
          <w:rFonts w:hint="eastAsia" w:ascii="Times New Roman" w:hAnsi="Times New Roman" w:eastAsia="宋体" w:cs="Times New Roman"/>
          <w:b/>
          <w:sz w:val="28"/>
          <w:szCs w:val="28"/>
        </w:rPr>
        <w:t xml:space="preserve"> </w:t>
      </w:r>
    </w:p>
    <w:p>
      <w:pPr>
        <w:spacing w:line="360" w:lineRule="auto"/>
        <w:jc w:val="center"/>
        <w:rPr>
          <w:rFonts w:ascii="Times New Roman" w:hAnsi="Times New Roman" w:eastAsia="宋体" w:cs="Times New Roman"/>
          <w:sz w:val="32"/>
          <w:szCs w:val="32"/>
        </w:rPr>
      </w:pPr>
      <w:r>
        <w:rPr>
          <w:rFonts w:hint="eastAsia" w:ascii="Times New Roman" w:hAnsi="Times New Roman" w:eastAsia="宋体" w:cs="Times New Roman"/>
          <w:b/>
          <w:sz w:val="32"/>
          <w:szCs w:val="32"/>
        </w:rPr>
        <w:t>管理学院转专业考核成绩汇总表</w:t>
      </w:r>
    </w:p>
    <w:tbl>
      <w:tblPr>
        <w:tblStyle w:val="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74"/>
        <w:gridCol w:w="1773"/>
        <w:gridCol w:w="1275"/>
        <w:gridCol w:w="1560"/>
        <w:gridCol w:w="1272"/>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2"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序号</w:t>
            </w:r>
          </w:p>
        </w:tc>
        <w:tc>
          <w:tcPr>
            <w:tcW w:w="1074"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姓名</w:t>
            </w:r>
          </w:p>
        </w:tc>
        <w:tc>
          <w:tcPr>
            <w:tcW w:w="1773"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原专业及班级</w:t>
            </w:r>
          </w:p>
        </w:tc>
        <w:tc>
          <w:tcPr>
            <w:tcW w:w="1275"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拟转入专业</w:t>
            </w:r>
          </w:p>
        </w:tc>
        <w:tc>
          <w:tcPr>
            <w:tcW w:w="1560"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学习基础成绩</w:t>
            </w:r>
          </w:p>
          <w:p>
            <w:pPr>
              <w:jc w:val="center"/>
              <w:rPr>
                <w:rFonts w:ascii="Times New Roman" w:hAnsi="Times New Roman" w:eastAsia="宋体" w:cs="Times New Roman"/>
                <w:szCs w:val="24"/>
              </w:rPr>
            </w:pPr>
            <w:r>
              <w:rPr>
                <w:rFonts w:hint="eastAsia" w:ascii="Times New Roman" w:hAnsi="Times New Roman" w:eastAsia="宋体" w:cs="Times New Roman"/>
                <w:szCs w:val="24"/>
              </w:rPr>
              <w:t>（50%）</w:t>
            </w:r>
          </w:p>
        </w:tc>
        <w:tc>
          <w:tcPr>
            <w:tcW w:w="1272"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面试成绩（50%）</w:t>
            </w:r>
          </w:p>
        </w:tc>
        <w:tc>
          <w:tcPr>
            <w:tcW w:w="1470"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总成绩</w:t>
            </w:r>
          </w:p>
          <w:p>
            <w:pPr>
              <w:jc w:val="center"/>
              <w:rPr>
                <w:rFonts w:ascii="Times New Roman" w:hAnsi="Times New Roman" w:eastAsia="宋体" w:cs="Times New Roman"/>
                <w:szCs w:val="24"/>
              </w:rPr>
            </w:pPr>
            <w:r>
              <w:rPr>
                <w:rFonts w:hint="eastAsia" w:ascii="Times New Roman" w:hAnsi="Times New Roman" w:eastAsia="宋体" w:cs="Times New Roman"/>
                <w:szCs w:val="24"/>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w:t>
            </w:r>
          </w:p>
        </w:tc>
        <w:tc>
          <w:tcPr>
            <w:tcW w:w="1074" w:type="dxa"/>
            <w:vAlign w:val="center"/>
          </w:tcPr>
          <w:p>
            <w:pPr>
              <w:widowControl/>
              <w:jc w:val="center"/>
              <w:rPr>
                <w:rFonts w:ascii="宋体" w:hAnsi="宋体" w:eastAsia="宋体" w:cs="宋体"/>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2</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3</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4</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5</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6</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7</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8</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 w:val="18"/>
                <w:szCs w:val="18"/>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9</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10</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11</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12</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spacing w:line="240" w:lineRule="exact"/>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13</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14</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15</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16</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spacing w:line="240" w:lineRule="exact"/>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17</w:t>
            </w:r>
          </w:p>
        </w:tc>
        <w:tc>
          <w:tcPr>
            <w:tcW w:w="1074" w:type="dxa"/>
            <w:vAlign w:val="center"/>
          </w:tcPr>
          <w:p>
            <w:pPr>
              <w:widowControl/>
              <w:jc w:val="center"/>
              <w:rPr>
                <w:rFonts w:ascii="宋体" w:hAnsi="宋体" w:eastAsia="宋体" w:cs="宋体"/>
                <w:color w:val="000000"/>
                <w:kern w:val="0"/>
                <w:szCs w:val="21"/>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18</w:t>
            </w:r>
          </w:p>
        </w:tc>
        <w:tc>
          <w:tcPr>
            <w:tcW w:w="1074" w:type="dxa"/>
            <w:vAlign w:val="center"/>
          </w:tcPr>
          <w:p>
            <w:pPr>
              <w:jc w:val="center"/>
              <w:rPr>
                <w:rFonts w:ascii="宋体" w:hAnsi="宋体" w:eastAsia="宋体" w:cs="宋体"/>
                <w:color w:val="000000"/>
                <w:sz w:val="22"/>
                <w:szCs w:val="24"/>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19</w:t>
            </w:r>
          </w:p>
        </w:tc>
        <w:tc>
          <w:tcPr>
            <w:tcW w:w="1074" w:type="dxa"/>
            <w:vAlign w:val="center"/>
          </w:tcPr>
          <w:p>
            <w:pPr>
              <w:jc w:val="center"/>
              <w:rPr>
                <w:rFonts w:ascii="宋体" w:hAnsi="宋体" w:eastAsia="宋体" w:cs="宋体"/>
                <w:color w:val="000000"/>
                <w:sz w:val="22"/>
                <w:szCs w:val="24"/>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tcPr>
          <w:p>
            <w:pPr>
              <w:spacing w:line="360" w:lineRule="auto"/>
              <w:rPr>
                <w:rFonts w:ascii="宋体" w:hAnsi="宋体" w:eastAsia="宋体" w:cs="Times New Roman"/>
                <w:szCs w:val="24"/>
              </w:rPr>
            </w:pPr>
            <w:r>
              <w:rPr>
                <w:rFonts w:hint="eastAsia" w:ascii="宋体" w:hAnsi="宋体" w:eastAsia="宋体" w:cs="Times New Roman"/>
                <w:szCs w:val="24"/>
              </w:rPr>
              <w:t>20</w:t>
            </w:r>
          </w:p>
        </w:tc>
        <w:tc>
          <w:tcPr>
            <w:tcW w:w="1074" w:type="dxa"/>
            <w:vAlign w:val="center"/>
          </w:tcPr>
          <w:p>
            <w:pPr>
              <w:jc w:val="center"/>
              <w:rPr>
                <w:rFonts w:ascii="宋体" w:hAnsi="宋体" w:eastAsia="宋体" w:cs="宋体"/>
                <w:color w:val="000000"/>
                <w:sz w:val="22"/>
                <w:szCs w:val="24"/>
              </w:rPr>
            </w:pPr>
          </w:p>
        </w:tc>
        <w:tc>
          <w:tcPr>
            <w:tcW w:w="1773" w:type="dxa"/>
            <w:vAlign w:val="center"/>
          </w:tcPr>
          <w:p>
            <w:pPr>
              <w:widowControl/>
              <w:jc w:val="center"/>
              <w:rPr>
                <w:rFonts w:ascii="宋体" w:hAnsi="宋体" w:eastAsia="宋体" w:cs="宋体"/>
                <w:color w:val="000000"/>
                <w:kern w:val="0"/>
                <w:szCs w:val="21"/>
              </w:rPr>
            </w:pPr>
          </w:p>
        </w:tc>
        <w:tc>
          <w:tcPr>
            <w:tcW w:w="1275" w:type="dxa"/>
          </w:tcPr>
          <w:p>
            <w:pPr>
              <w:jc w:val="center"/>
              <w:rPr>
                <w:rFonts w:ascii="宋体" w:hAnsi="宋体" w:eastAsia="宋体" w:cs="宋体"/>
                <w:sz w:val="24"/>
                <w:szCs w:val="24"/>
              </w:rPr>
            </w:pPr>
          </w:p>
        </w:tc>
        <w:tc>
          <w:tcPr>
            <w:tcW w:w="1560" w:type="dxa"/>
          </w:tcPr>
          <w:p>
            <w:pPr>
              <w:jc w:val="center"/>
              <w:rPr>
                <w:rFonts w:ascii="宋体" w:hAnsi="宋体" w:eastAsia="宋体" w:cs="宋体"/>
                <w:sz w:val="24"/>
                <w:szCs w:val="24"/>
              </w:rPr>
            </w:pPr>
          </w:p>
        </w:tc>
        <w:tc>
          <w:tcPr>
            <w:tcW w:w="1272" w:type="dxa"/>
            <w:vAlign w:val="bottom"/>
          </w:tcPr>
          <w:p>
            <w:pPr>
              <w:jc w:val="center"/>
              <w:rPr>
                <w:rFonts w:ascii="宋体" w:hAnsi="宋体" w:eastAsia="宋体" w:cs="宋体"/>
                <w:sz w:val="24"/>
                <w:szCs w:val="24"/>
              </w:rPr>
            </w:pPr>
          </w:p>
        </w:tc>
        <w:tc>
          <w:tcPr>
            <w:tcW w:w="1470" w:type="dxa"/>
            <w:vAlign w:val="bottom"/>
          </w:tcPr>
          <w:p>
            <w:pPr>
              <w:jc w:val="center"/>
              <w:rPr>
                <w:rFonts w:ascii="宋体" w:hAnsi="宋体" w:eastAsia="宋体" w:cs="宋体"/>
                <w:sz w:val="24"/>
                <w:szCs w:val="24"/>
              </w:rPr>
            </w:pPr>
          </w:p>
        </w:tc>
      </w:tr>
    </w:tbl>
    <w:p>
      <w:pPr>
        <w:spacing w:line="300" w:lineRule="auto"/>
        <w:rPr>
          <w:rFonts w:ascii="Times New Roman" w:hAnsi="Times New Roman" w:eastAsia="宋体" w:cs="Times New Roman"/>
          <w:sz w:val="24"/>
          <w:szCs w:val="24"/>
        </w:rPr>
      </w:pPr>
    </w:p>
    <w:p>
      <w:pPr>
        <w:spacing w:line="30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转专业工作小组签字：</w:t>
      </w:r>
    </w:p>
    <w:p>
      <w:pPr>
        <w:spacing w:line="300" w:lineRule="auto"/>
        <w:rPr>
          <w:rFonts w:ascii="Times New Roman" w:hAnsi="Times New Roman" w:eastAsia="宋体" w:cs="Times New Roman"/>
          <w:sz w:val="24"/>
          <w:szCs w:val="24"/>
        </w:rPr>
      </w:pPr>
    </w:p>
    <w:p>
      <w:pPr>
        <w:spacing w:line="300" w:lineRule="auto"/>
        <w:jc w:val="right"/>
        <w:rPr>
          <w:rFonts w:ascii="宋体" w:hAnsi="宋体" w:eastAsia="宋体" w:cs="Times New Roman"/>
          <w:sz w:val="24"/>
          <w:szCs w:val="24"/>
        </w:rPr>
      </w:pPr>
      <w:r>
        <w:rPr>
          <w:rFonts w:hint="eastAsia" w:ascii="Times New Roman" w:hAnsi="Times New Roman" w:eastAsia="宋体" w:cs="Times New Roman"/>
          <w:sz w:val="24"/>
          <w:szCs w:val="24"/>
        </w:rPr>
        <w:t xml:space="preserve">二级学院（公章）                                                                                     </w:t>
      </w:r>
      <w:r>
        <w:rPr>
          <w:rFonts w:hint="eastAsia" w:ascii="宋体" w:hAnsi="宋体" w:eastAsia="宋体" w:cs="Times New Roman"/>
          <w:sz w:val="24"/>
          <w:szCs w:val="24"/>
        </w:rPr>
        <w:t>年     月     日</w:t>
      </w:r>
    </w:p>
    <w:p>
      <w:pPr>
        <w:spacing w:before="78" w:after="78"/>
        <w:ind w:right="640"/>
        <w:rPr>
          <w:rFonts w:ascii="宋体" w:hAnsi="宋体" w:eastAsia="宋体" w:cs="Times New Roman"/>
          <w:sz w:val="28"/>
          <w:szCs w:val="28"/>
        </w:rPr>
        <w:sectPr>
          <w:pgSz w:w="11906" w:h="16838"/>
          <w:pgMar w:top="1134" w:right="1797" w:bottom="1134" w:left="1797" w:header="851" w:footer="992" w:gutter="0"/>
          <w:cols w:space="720" w:num="1"/>
          <w:docGrid w:type="lines" w:linePitch="312" w:charSpace="0"/>
        </w:sectPr>
      </w:pPr>
    </w:p>
    <w:p>
      <w:pPr>
        <w:rPr>
          <w:rFonts w:ascii="Times New Roman" w:hAnsi="Times New Roman" w:eastAsia="宋体" w:cs="Times New Roman"/>
          <w:b/>
          <w:sz w:val="28"/>
          <w:szCs w:val="28"/>
        </w:rPr>
      </w:pPr>
      <w:r>
        <w:rPr>
          <w:rFonts w:hint="eastAsia" w:ascii="Times New Roman" w:hAnsi="Times New Roman" w:eastAsia="宋体" w:cs="Times New Roman"/>
          <w:sz w:val="28"/>
          <w:szCs w:val="28"/>
        </w:rPr>
        <w:t>附件3</w:t>
      </w:r>
    </w:p>
    <w:p>
      <w:pPr>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管理学院转专业拟录取学生名单</w:t>
      </w:r>
    </w:p>
    <w:p>
      <w:pPr>
        <w:jc w:val="left"/>
        <w:rPr>
          <w:rFonts w:ascii="Times New Roman" w:hAnsi="Times New Roman" w:eastAsia="宋体" w:cs="Times New Roman"/>
          <w:b/>
          <w:sz w:val="22"/>
          <w:szCs w:val="24"/>
        </w:rPr>
      </w:pPr>
      <w:r>
        <w:rPr>
          <w:rFonts w:hint="eastAsia" w:ascii="Times New Roman" w:hAnsi="Times New Roman" w:eastAsia="宋体" w:cs="Times New Roman"/>
          <w:b/>
          <w:sz w:val="22"/>
          <w:szCs w:val="24"/>
        </w:rPr>
        <w:t>（二级学院公章）                                        年    月     日</w:t>
      </w:r>
    </w:p>
    <w:tbl>
      <w:tblPr>
        <w:tblStyle w:val="4"/>
        <w:tblpPr w:leftFromText="180" w:rightFromText="180" w:vertAnchor="text" w:horzAnchor="margin" w:tblpXSpec="center" w:tblpY="158"/>
        <w:tblW w:w="9747" w:type="dxa"/>
        <w:tblInd w:w="0" w:type="dxa"/>
        <w:tblLayout w:type="fixed"/>
        <w:tblCellMar>
          <w:top w:w="0" w:type="dxa"/>
          <w:left w:w="108" w:type="dxa"/>
          <w:bottom w:w="0" w:type="dxa"/>
          <w:right w:w="108" w:type="dxa"/>
        </w:tblCellMar>
      </w:tblPr>
      <w:tblGrid>
        <w:gridCol w:w="534"/>
        <w:gridCol w:w="1275"/>
        <w:gridCol w:w="1701"/>
        <w:gridCol w:w="1560"/>
        <w:gridCol w:w="1701"/>
        <w:gridCol w:w="1757"/>
        <w:gridCol w:w="1219"/>
      </w:tblGrid>
      <w:tr>
        <w:tblPrEx>
          <w:tblCellMar>
            <w:top w:w="0" w:type="dxa"/>
            <w:left w:w="108" w:type="dxa"/>
            <w:bottom w:w="0" w:type="dxa"/>
            <w:right w:w="108" w:type="dxa"/>
          </w:tblCellMar>
        </w:tblPrEx>
        <w:trPr>
          <w:trHeight w:val="270"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姓名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学号</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原二级学院</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原专业</w:t>
            </w: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转入专业</w:t>
            </w:r>
          </w:p>
        </w:tc>
        <w:tc>
          <w:tcPr>
            <w:tcW w:w="121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转专业</w:t>
            </w:r>
          </w:p>
          <w:p>
            <w:pPr>
              <w:widowControl/>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考核排名</w:t>
            </w: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95" w:hRule="exact"/>
        </w:trPr>
        <w:tc>
          <w:tcPr>
            <w:tcW w:w="534" w:type="dxa"/>
            <w:tcBorders>
              <w:top w:val="single" w:color="auto" w:sz="4" w:space="0"/>
            </w:tcBorders>
            <w:vAlign w:val="center"/>
          </w:tcPr>
          <w:p>
            <w:pPr>
              <w:widowControl/>
              <w:jc w:val="center"/>
              <w:rPr>
                <w:rFonts w:ascii="宋体" w:hAnsi="宋体" w:eastAsia="宋体" w:cs="宋体"/>
                <w:color w:val="000000"/>
                <w:kern w:val="0"/>
                <w:szCs w:val="21"/>
              </w:rPr>
            </w:pPr>
          </w:p>
        </w:tc>
        <w:tc>
          <w:tcPr>
            <w:tcW w:w="1275" w:type="dxa"/>
            <w:tcBorders>
              <w:top w:val="single" w:color="auto" w:sz="4" w:space="0"/>
            </w:tcBorders>
            <w:vAlign w:val="center"/>
          </w:tcPr>
          <w:p>
            <w:pPr>
              <w:widowControl/>
              <w:jc w:val="center"/>
              <w:rPr>
                <w:rFonts w:ascii="宋体" w:hAnsi="宋体" w:eastAsia="宋体" w:cs="宋体"/>
                <w:color w:val="000000"/>
                <w:kern w:val="0"/>
                <w:szCs w:val="21"/>
              </w:rPr>
            </w:pPr>
          </w:p>
        </w:tc>
        <w:tc>
          <w:tcPr>
            <w:tcW w:w="1701" w:type="dxa"/>
            <w:tcBorders>
              <w:top w:val="single" w:color="auto" w:sz="4" w:space="0"/>
            </w:tcBorders>
            <w:vAlign w:val="center"/>
          </w:tcPr>
          <w:p>
            <w:pPr>
              <w:widowControl/>
              <w:jc w:val="center"/>
              <w:rPr>
                <w:rFonts w:ascii="宋体" w:hAnsi="宋体" w:eastAsia="宋体" w:cs="宋体"/>
                <w:color w:val="000000"/>
                <w:kern w:val="0"/>
                <w:szCs w:val="21"/>
              </w:rPr>
            </w:pPr>
          </w:p>
        </w:tc>
        <w:tc>
          <w:tcPr>
            <w:tcW w:w="1560" w:type="dxa"/>
            <w:tcBorders>
              <w:top w:val="single" w:color="auto" w:sz="4" w:space="0"/>
            </w:tcBorders>
            <w:noWrap/>
            <w:vAlign w:val="center"/>
          </w:tcPr>
          <w:p>
            <w:pPr>
              <w:widowControl/>
              <w:jc w:val="center"/>
              <w:rPr>
                <w:rFonts w:ascii="宋体" w:hAnsi="宋体" w:eastAsia="宋体" w:cs="宋体"/>
                <w:color w:val="000000"/>
                <w:kern w:val="0"/>
                <w:szCs w:val="21"/>
              </w:rPr>
            </w:pPr>
          </w:p>
        </w:tc>
        <w:tc>
          <w:tcPr>
            <w:tcW w:w="1701" w:type="dxa"/>
            <w:tcBorders>
              <w:top w:val="single" w:color="auto" w:sz="4" w:space="0"/>
            </w:tcBorders>
            <w:noWrap/>
            <w:vAlign w:val="center"/>
          </w:tcPr>
          <w:p>
            <w:pPr>
              <w:widowControl/>
              <w:jc w:val="center"/>
              <w:rPr>
                <w:rFonts w:ascii="宋体" w:hAnsi="宋体" w:eastAsia="宋体" w:cs="宋体"/>
                <w:color w:val="000000"/>
                <w:kern w:val="0"/>
                <w:szCs w:val="21"/>
              </w:rPr>
            </w:pPr>
          </w:p>
        </w:tc>
        <w:tc>
          <w:tcPr>
            <w:tcW w:w="1757" w:type="dxa"/>
            <w:tcBorders>
              <w:top w:val="single" w:color="auto" w:sz="4" w:space="0"/>
            </w:tcBorders>
            <w:vAlign w:val="center"/>
          </w:tcPr>
          <w:p>
            <w:pPr>
              <w:widowControl/>
              <w:jc w:val="center"/>
              <w:rPr>
                <w:rFonts w:ascii="宋体" w:hAnsi="宋体" w:eastAsia="宋体" w:cs="宋体"/>
                <w:color w:val="000000"/>
                <w:kern w:val="0"/>
                <w:szCs w:val="21"/>
              </w:rPr>
            </w:pPr>
          </w:p>
        </w:tc>
        <w:tc>
          <w:tcPr>
            <w:tcW w:w="1219" w:type="dxa"/>
            <w:tcBorders>
              <w:top w:val="single" w:color="auto" w:sz="4" w:space="0"/>
            </w:tcBorders>
            <w:noWrap/>
            <w:vAlign w:val="center"/>
          </w:tcPr>
          <w:p>
            <w:pPr>
              <w:widowControl/>
              <w:jc w:val="center"/>
              <w:rPr>
                <w:rFonts w:ascii="宋体" w:hAnsi="宋体" w:eastAsia="宋体" w:cs="宋体"/>
                <w:color w:val="000000"/>
                <w:kern w:val="0"/>
                <w:szCs w:val="21"/>
              </w:rPr>
            </w:pPr>
          </w:p>
        </w:tc>
      </w:tr>
    </w:tbl>
    <w:p>
      <w:pPr>
        <w:rPr>
          <w:highlight w:val="none"/>
        </w:rPr>
      </w:pPr>
    </w:p>
    <w:p>
      <w:pPr>
        <w:rPr>
          <w:rFonts w:ascii="仿宋" w:hAnsi="仿宋" w:eastAsia="仿宋"/>
          <w:sz w:val="32"/>
          <w:szCs w:val="32"/>
          <w:highlight w:val="none"/>
        </w:rPr>
      </w:pPr>
    </w:p>
    <w:p>
      <w:pPr>
        <w:rPr>
          <w:rFonts w:ascii="仿宋" w:hAnsi="仿宋" w:eastAsia="仿宋"/>
          <w:sz w:val="32"/>
          <w:szCs w:val="32"/>
          <w:highlight w:val="none"/>
        </w:rPr>
      </w:pPr>
    </w:p>
    <w:p>
      <w:pPr>
        <w:rPr>
          <w:rFonts w:ascii="仿宋" w:hAnsi="仿宋" w:eastAsia="仿宋"/>
          <w:sz w:val="32"/>
          <w:szCs w:val="32"/>
          <w:highlight w:val="none"/>
        </w:rPr>
      </w:pPr>
    </w:p>
    <w:p>
      <w:pPr>
        <w:pStyle w:val="2"/>
        <w:bidi w:val="0"/>
        <w:rPr>
          <w:rFonts w:hint="eastAsia"/>
          <w:highlight w:val="none"/>
        </w:rPr>
      </w:pPr>
      <w:r>
        <w:rPr>
          <w:rFonts w:hint="eastAsia"/>
          <w:highlight w:val="none"/>
        </w:rPr>
        <w:t>贵州商学院会计学院</w:t>
      </w:r>
    </w:p>
    <w:p>
      <w:pPr>
        <w:pStyle w:val="2"/>
        <w:bidi w:val="0"/>
        <w:jc w:val="center"/>
        <w:rPr>
          <w:rFonts w:hint="eastAsia"/>
          <w:highlight w:val="none"/>
        </w:rPr>
      </w:pPr>
      <w:r>
        <w:rPr>
          <w:rFonts w:hint="eastAsia"/>
          <w:highlight w:val="none"/>
          <w:lang w:val="en-US" w:eastAsia="zh-CN"/>
        </w:rPr>
        <w:t>2020—2021学年第1学期</w:t>
      </w:r>
      <w:r>
        <w:rPr>
          <w:rFonts w:hint="eastAsia"/>
          <w:highlight w:val="none"/>
          <w:lang w:eastAsia="zh-CN"/>
        </w:rPr>
        <w:t>学生</w:t>
      </w:r>
      <w:r>
        <w:rPr>
          <w:rFonts w:hint="eastAsia"/>
          <w:highlight w:val="none"/>
        </w:rPr>
        <w:t>转专业考核办法</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shd w:val="clear" w:color="auto" w:fill="auto"/>
        </w:rPr>
      </w:pPr>
      <w:r>
        <w:rPr>
          <w:rFonts w:hint="eastAsia" w:ascii="仿宋" w:hAnsi="仿宋" w:eastAsia="仿宋" w:cs="仿宋"/>
          <w:sz w:val="30"/>
          <w:szCs w:val="30"/>
          <w:u w:val="none"/>
          <w:shd w:val="clear" w:color="auto" w:fill="auto"/>
        </w:rPr>
        <w:t>根据《贵州商学院学生转专业管理细则（修订）》的文件精神，结合</w:t>
      </w:r>
      <w:r>
        <w:rPr>
          <w:rFonts w:hint="eastAsia" w:ascii="仿宋" w:hAnsi="仿宋" w:eastAsia="仿宋" w:cs="仿宋"/>
          <w:sz w:val="30"/>
          <w:szCs w:val="30"/>
          <w:u w:val="none"/>
          <w:shd w:val="clear" w:color="auto" w:fill="auto"/>
          <w:lang w:val="en-US" w:eastAsia="zh-CN"/>
        </w:rPr>
        <w:t>会计学院</w:t>
      </w:r>
      <w:r>
        <w:rPr>
          <w:rFonts w:hint="eastAsia" w:ascii="仿宋" w:hAnsi="仿宋" w:eastAsia="仿宋" w:cs="仿宋"/>
          <w:sz w:val="30"/>
          <w:szCs w:val="30"/>
          <w:u w:val="none"/>
          <w:shd w:val="clear" w:color="auto" w:fill="auto"/>
        </w:rPr>
        <w:t>学院各专业实际情况，现制定</w:t>
      </w:r>
      <w:r>
        <w:rPr>
          <w:rFonts w:hint="eastAsia" w:ascii="仿宋" w:hAnsi="仿宋" w:eastAsia="仿宋" w:cs="仿宋"/>
          <w:sz w:val="30"/>
          <w:szCs w:val="30"/>
          <w:u w:val="none"/>
          <w:shd w:val="clear" w:color="auto" w:fill="auto"/>
          <w:lang w:val="en-US" w:eastAsia="zh-CN"/>
        </w:rPr>
        <w:t>会计</w:t>
      </w:r>
      <w:r>
        <w:rPr>
          <w:rFonts w:hint="eastAsia" w:ascii="仿宋" w:hAnsi="仿宋" w:eastAsia="仿宋" w:cs="仿宋"/>
          <w:sz w:val="30"/>
          <w:szCs w:val="30"/>
          <w:u w:val="none"/>
          <w:shd w:val="clear" w:color="auto" w:fill="auto"/>
        </w:rPr>
        <w:t>学院</w:t>
      </w:r>
      <w:r>
        <w:rPr>
          <w:rFonts w:hint="eastAsia" w:ascii="仿宋" w:hAnsi="仿宋" w:eastAsia="仿宋" w:cs="仿宋"/>
          <w:sz w:val="30"/>
          <w:szCs w:val="30"/>
          <w:u w:val="none"/>
          <w:shd w:val="clear" w:color="auto" w:fill="auto"/>
          <w:lang w:eastAsia="zh-CN"/>
        </w:rPr>
        <w:t>20</w:t>
      </w:r>
      <w:r>
        <w:rPr>
          <w:rFonts w:hint="eastAsia" w:ascii="仿宋" w:hAnsi="仿宋" w:eastAsia="仿宋" w:cs="仿宋"/>
          <w:sz w:val="30"/>
          <w:szCs w:val="30"/>
          <w:u w:val="none"/>
          <w:shd w:val="clear" w:color="auto" w:fill="auto"/>
          <w:lang w:val="en-US" w:eastAsia="zh-CN"/>
        </w:rPr>
        <w:t>20</w:t>
      </w:r>
      <w:r>
        <w:rPr>
          <w:rFonts w:hint="eastAsia" w:ascii="仿宋" w:hAnsi="仿宋" w:eastAsia="仿宋" w:cs="仿宋"/>
          <w:sz w:val="30"/>
          <w:szCs w:val="30"/>
          <w:u w:val="none"/>
          <w:shd w:val="clear" w:color="auto" w:fill="auto"/>
          <w:lang w:eastAsia="zh-CN"/>
        </w:rPr>
        <w:t>—20</w:t>
      </w:r>
      <w:r>
        <w:rPr>
          <w:rFonts w:hint="eastAsia" w:ascii="仿宋" w:hAnsi="仿宋" w:eastAsia="仿宋" w:cs="仿宋"/>
          <w:sz w:val="30"/>
          <w:szCs w:val="30"/>
          <w:u w:val="none"/>
          <w:shd w:val="clear" w:color="auto" w:fill="auto"/>
          <w:lang w:val="en-US" w:eastAsia="zh-CN"/>
        </w:rPr>
        <w:t>21</w:t>
      </w:r>
      <w:r>
        <w:rPr>
          <w:rFonts w:hint="eastAsia" w:ascii="仿宋" w:hAnsi="仿宋" w:eastAsia="仿宋" w:cs="仿宋"/>
          <w:sz w:val="30"/>
          <w:szCs w:val="30"/>
          <w:u w:val="none"/>
          <w:shd w:val="clear" w:color="auto" w:fill="auto"/>
          <w:lang w:eastAsia="zh-CN"/>
        </w:rPr>
        <w:t>学年第</w:t>
      </w:r>
      <w:r>
        <w:rPr>
          <w:rFonts w:hint="eastAsia" w:ascii="仿宋" w:hAnsi="仿宋" w:eastAsia="仿宋" w:cs="仿宋"/>
          <w:sz w:val="30"/>
          <w:szCs w:val="30"/>
          <w:u w:val="none"/>
          <w:shd w:val="clear" w:color="auto" w:fill="auto"/>
          <w:lang w:val="en-US" w:eastAsia="zh-CN"/>
        </w:rPr>
        <w:t>1</w:t>
      </w:r>
      <w:r>
        <w:rPr>
          <w:rFonts w:hint="eastAsia" w:ascii="仿宋" w:hAnsi="仿宋" w:eastAsia="仿宋" w:cs="仿宋"/>
          <w:sz w:val="30"/>
          <w:szCs w:val="30"/>
          <w:u w:val="none"/>
          <w:shd w:val="clear" w:color="auto" w:fill="auto"/>
          <w:lang w:eastAsia="zh-CN"/>
        </w:rPr>
        <w:t>学期</w:t>
      </w:r>
      <w:r>
        <w:rPr>
          <w:rFonts w:hint="eastAsia" w:ascii="仿宋" w:hAnsi="仿宋" w:eastAsia="仿宋" w:cs="仿宋"/>
          <w:sz w:val="30"/>
          <w:szCs w:val="30"/>
          <w:u w:val="none"/>
          <w:shd w:val="clear" w:color="auto" w:fill="auto"/>
        </w:rPr>
        <w:t>接收转专业考核办法。</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sz w:val="30"/>
          <w:szCs w:val="30"/>
          <w:u w:val="none"/>
          <w:shd w:val="clear" w:color="auto" w:fill="auto"/>
        </w:rPr>
      </w:pPr>
      <w:r>
        <w:rPr>
          <w:rFonts w:hint="eastAsia" w:ascii="仿宋" w:hAnsi="仿宋" w:eastAsia="仿宋" w:cs="仿宋"/>
          <w:b/>
          <w:bCs/>
          <w:sz w:val="30"/>
          <w:szCs w:val="30"/>
          <w:u w:val="none"/>
          <w:shd w:val="clear" w:color="auto" w:fill="auto"/>
        </w:rPr>
        <w:t>第一条</w:t>
      </w:r>
      <w:r>
        <w:rPr>
          <w:rFonts w:hint="eastAsia" w:ascii="仿宋" w:hAnsi="仿宋" w:eastAsia="仿宋" w:cs="仿宋"/>
          <w:b/>
          <w:bCs/>
          <w:sz w:val="30"/>
          <w:szCs w:val="30"/>
          <w:u w:val="none"/>
          <w:shd w:val="clear" w:color="auto" w:fill="auto"/>
          <w:lang w:val="en-US" w:eastAsia="zh-CN"/>
        </w:rPr>
        <w:t xml:space="preserve"> </w:t>
      </w:r>
      <w:r>
        <w:rPr>
          <w:rFonts w:hint="eastAsia" w:ascii="仿宋" w:hAnsi="仿宋" w:eastAsia="仿宋" w:cs="仿宋"/>
          <w:b/>
          <w:sz w:val="30"/>
          <w:szCs w:val="30"/>
          <w:u w:val="none"/>
          <w:shd w:val="clear" w:color="auto" w:fill="auto"/>
        </w:rPr>
        <w:t>转专业工作小组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shd w:val="clear" w:color="auto" w:fill="auto"/>
          <w:lang w:val="en-US" w:eastAsia="zh-CN"/>
        </w:rPr>
      </w:pPr>
      <w:r>
        <w:rPr>
          <w:rFonts w:hint="eastAsia" w:ascii="仿宋" w:hAnsi="仿宋" w:eastAsia="仿宋" w:cs="仿宋"/>
          <w:sz w:val="30"/>
          <w:szCs w:val="30"/>
          <w:u w:val="none"/>
          <w:shd w:val="clear" w:color="auto" w:fill="auto"/>
        </w:rPr>
        <w:t>组长：</w:t>
      </w:r>
      <w:r>
        <w:rPr>
          <w:rFonts w:hint="eastAsia" w:ascii="仿宋" w:hAnsi="仿宋" w:eastAsia="仿宋" w:cs="仿宋"/>
          <w:sz w:val="30"/>
          <w:szCs w:val="30"/>
          <w:u w:val="none"/>
          <w:shd w:val="clear" w:color="auto" w:fill="auto"/>
          <w:lang w:val="en-US" w:eastAsia="zh-CN"/>
        </w:rPr>
        <w:t>陈林先  况培颖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shd w:val="clear" w:color="auto" w:fill="auto"/>
        </w:rPr>
      </w:pPr>
      <w:r>
        <w:rPr>
          <w:rFonts w:hint="eastAsia" w:ascii="仿宋" w:hAnsi="仿宋" w:eastAsia="仿宋" w:cs="仿宋"/>
          <w:sz w:val="30"/>
          <w:szCs w:val="30"/>
          <w:u w:val="none"/>
          <w:shd w:val="clear" w:color="auto" w:fill="auto"/>
          <w:lang w:eastAsia="zh-CN"/>
        </w:rPr>
        <w:t>副组长</w:t>
      </w:r>
      <w:r>
        <w:rPr>
          <w:rFonts w:hint="eastAsia" w:ascii="仿宋" w:hAnsi="仿宋" w:eastAsia="仿宋" w:cs="仿宋"/>
          <w:sz w:val="30"/>
          <w:szCs w:val="30"/>
          <w:u w:val="none"/>
          <w:shd w:val="clear" w:color="auto" w:fill="auto"/>
        </w:rPr>
        <w:t>：</w:t>
      </w:r>
      <w:r>
        <w:rPr>
          <w:rFonts w:hint="eastAsia" w:ascii="仿宋" w:hAnsi="仿宋" w:eastAsia="仿宋" w:cs="仿宋"/>
          <w:sz w:val="30"/>
          <w:szCs w:val="30"/>
          <w:u w:val="none"/>
          <w:shd w:val="clear" w:color="auto" w:fill="auto"/>
          <w:lang w:val="en-US" w:eastAsia="zh-CN"/>
        </w:rPr>
        <w:t>金青  张庆华  许玲茜</w:t>
      </w:r>
      <w:r>
        <w:rPr>
          <w:rFonts w:hint="eastAsia" w:ascii="仿宋" w:hAnsi="仿宋" w:eastAsia="仿宋" w:cs="仿宋"/>
          <w:sz w:val="30"/>
          <w:szCs w:val="30"/>
          <w:u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u w:val="none"/>
          <w:shd w:val="clear" w:color="auto" w:fill="auto"/>
          <w:lang w:val="en-US"/>
        </w:rPr>
      </w:pPr>
      <w:r>
        <w:rPr>
          <w:rFonts w:hint="eastAsia" w:ascii="仿宋" w:hAnsi="仿宋" w:eastAsia="仿宋" w:cs="仿宋"/>
          <w:sz w:val="30"/>
          <w:szCs w:val="30"/>
          <w:u w:val="none"/>
          <w:shd w:val="clear" w:color="auto" w:fill="auto"/>
          <w:lang w:eastAsia="zh-CN"/>
        </w:rPr>
        <w:t>成员：</w:t>
      </w:r>
      <w:r>
        <w:rPr>
          <w:rFonts w:hint="eastAsia" w:ascii="仿宋" w:hAnsi="仿宋" w:eastAsia="仿宋" w:cs="仿宋"/>
          <w:sz w:val="30"/>
          <w:szCs w:val="30"/>
          <w:u w:val="none"/>
          <w:shd w:val="clear" w:color="auto" w:fill="auto"/>
          <w:lang w:val="en-US" w:eastAsia="zh-CN"/>
        </w:rPr>
        <w:t>李益兰  刘明霞  凌邦如  郑伟  张蓉蓉</w:t>
      </w:r>
    </w:p>
    <w:p>
      <w:pPr>
        <w:spacing w:line="360" w:lineRule="auto"/>
        <w:ind w:firstLine="645"/>
        <w:rPr>
          <w:rFonts w:ascii="仿宋" w:hAnsi="仿宋" w:eastAsia="仿宋" w:cs="仿宋"/>
          <w:b/>
          <w:sz w:val="28"/>
          <w:szCs w:val="28"/>
        </w:rPr>
      </w:pPr>
      <w:r>
        <w:rPr>
          <w:rFonts w:hint="eastAsia" w:ascii="仿宋" w:hAnsi="仿宋" w:eastAsia="仿宋" w:cs="仿宋"/>
          <w:b/>
          <w:sz w:val="28"/>
          <w:szCs w:val="28"/>
        </w:rPr>
        <w:t>第二条 转出专业、转出名额及条件、转出流程</w:t>
      </w:r>
    </w:p>
    <w:p>
      <w:pPr>
        <w:spacing w:line="360" w:lineRule="auto"/>
        <w:ind w:firstLine="645"/>
        <w:rPr>
          <w:rFonts w:ascii="仿宋" w:hAnsi="仿宋" w:eastAsia="仿宋" w:cs="仿宋"/>
          <w:sz w:val="28"/>
          <w:szCs w:val="28"/>
        </w:rPr>
      </w:pPr>
      <w:r>
        <w:rPr>
          <w:rFonts w:hint="eastAsia" w:ascii="仿宋" w:hAnsi="仿宋" w:eastAsia="仿宋" w:cs="仿宋"/>
          <w:sz w:val="28"/>
          <w:szCs w:val="28"/>
        </w:rPr>
        <w:t>（一）转出专业</w:t>
      </w:r>
    </w:p>
    <w:p>
      <w:pPr>
        <w:spacing w:line="360" w:lineRule="auto"/>
        <w:ind w:firstLine="645"/>
        <w:rPr>
          <w:rFonts w:ascii="仿宋" w:hAnsi="仿宋" w:eastAsia="仿宋" w:cs="仿宋"/>
          <w:sz w:val="28"/>
          <w:szCs w:val="28"/>
        </w:rPr>
      </w:pPr>
      <w:r>
        <w:rPr>
          <w:rFonts w:hint="eastAsia" w:ascii="仿宋" w:hAnsi="仿宋" w:eastAsia="仿宋" w:cs="仿宋"/>
          <w:sz w:val="28"/>
          <w:szCs w:val="28"/>
        </w:rPr>
        <w:t>会计学院20</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学年第1学期可申请转出专业包括201</w:t>
      </w:r>
      <w:r>
        <w:rPr>
          <w:rFonts w:hint="eastAsia" w:ascii="仿宋" w:hAnsi="仿宋" w:eastAsia="仿宋" w:cs="仿宋"/>
          <w:sz w:val="28"/>
          <w:szCs w:val="28"/>
          <w:lang w:val="en-US" w:eastAsia="zh-CN"/>
        </w:rPr>
        <w:t>9</w:t>
      </w:r>
      <w:r>
        <w:rPr>
          <w:rFonts w:hint="eastAsia" w:ascii="仿宋" w:hAnsi="仿宋" w:eastAsia="仿宋" w:cs="仿宋"/>
          <w:sz w:val="28"/>
          <w:szCs w:val="28"/>
        </w:rPr>
        <w:t>级和20</w:t>
      </w:r>
      <w:r>
        <w:rPr>
          <w:rFonts w:hint="eastAsia" w:ascii="仿宋" w:hAnsi="仿宋" w:eastAsia="仿宋" w:cs="仿宋"/>
          <w:sz w:val="28"/>
          <w:szCs w:val="28"/>
          <w:lang w:val="en-US" w:eastAsia="zh-CN"/>
        </w:rPr>
        <w:t>20</w:t>
      </w:r>
      <w:r>
        <w:rPr>
          <w:rFonts w:hint="eastAsia" w:ascii="仿宋" w:hAnsi="仿宋" w:eastAsia="仿宋" w:cs="仿宋"/>
          <w:sz w:val="28"/>
          <w:szCs w:val="28"/>
        </w:rPr>
        <w:t>级会计学、财务管理、审计学三个本科专业（20</w:t>
      </w:r>
      <w:r>
        <w:rPr>
          <w:rFonts w:hint="eastAsia" w:ascii="仿宋" w:hAnsi="仿宋" w:eastAsia="仿宋" w:cs="仿宋"/>
          <w:sz w:val="28"/>
          <w:szCs w:val="28"/>
          <w:lang w:val="en-US" w:eastAsia="zh-CN"/>
        </w:rPr>
        <w:t>20</w:t>
      </w:r>
      <w:r>
        <w:rPr>
          <w:rFonts w:hint="eastAsia" w:ascii="仿宋" w:hAnsi="仿宋" w:eastAsia="仿宋" w:cs="仿宋"/>
          <w:sz w:val="28"/>
          <w:szCs w:val="28"/>
        </w:rPr>
        <w:t>级针对全院符合条件的转专业学生，201</w:t>
      </w:r>
      <w:r>
        <w:rPr>
          <w:rFonts w:hint="eastAsia" w:ascii="仿宋" w:hAnsi="仿宋" w:eastAsia="仿宋" w:cs="仿宋"/>
          <w:sz w:val="28"/>
          <w:szCs w:val="28"/>
          <w:lang w:val="en-US" w:eastAsia="zh-CN"/>
        </w:rPr>
        <w:t>9</w:t>
      </w:r>
      <w:r>
        <w:rPr>
          <w:rFonts w:hint="eastAsia" w:ascii="仿宋" w:hAnsi="仿宋" w:eastAsia="仿宋" w:cs="仿宋"/>
          <w:sz w:val="28"/>
          <w:szCs w:val="28"/>
        </w:rPr>
        <w:t>级仅针对会计学院内符合条件的转专业学生）。</w:t>
      </w:r>
    </w:p>
    <w:p>
      <w:pPr>
        <w:spacing w:line="360" w:lineRule="auto"/>
        <w:ind w:firstLine="645"/>
        <w:rPr>
          <w:rFonts w:ascii="仿宋" w:hAnsi="仿宋" w:eastAsia="仿宋" w:cs="仿宋"/>
          <w:sz w:val="28"/>
          <w:szCs w:val="28"/>
        </w:rPr>
      </w:pPr>
      <w:r>
        <w:rPr>
          <w:rFonts w:hint="eastAsia" w:ascii="仿宋" w:hAnsi="仿宋" w:eastAsia="仿宋" w:cs="仿宋"/>
          <w:sz w:val="28"/>
          <w:szCs w:val="28"/>
        </w:rPr>
        <w:t>（二）转出名额及条件</w:t>
      </w:r>
    </w:p>
    <w:p>
      <w:pPr>
        <w:spacing w:line="360" w:lineRule="auto"/>
        <w:ind w:firstLine="645"/>
        <w:rPr>
          <w:rFonts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级转出名额：各专业分别5人</w:t>
      </w:r>
    </w:p>
    <w:p>
      <w:pPr>
        <w:spacing w:line="360" w:lineRule="auto"/>
        <w:ind w:firstLine="645"/>
        <w:rPr>
          <w:rFonts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转出条件：符合《贵州商学院学生转专业管理细则（暂行）》第二章第三条规定之一的学生。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（三）转出流程</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按《贵州商学院学生转专业管理细则（修订）》执行。</w:t>
      </w:r>
    </w:p>
    <w:p>
      <w:pPr>
        <w:spacing w:line="360" w:lineRule="auto"/>
        <w:ind w:firstLine="645"/>
        <w:rPr>
          <w:rFonts w:ascii="仿宋" w:hAnsi="仿宋" w:eastAsia="仿宋" w:cs="仿宋"/>
          <w:b/>
          <w:sz w:val="28"/>
          <w:szCs w:val="28"/>
        </w:rPr>
      </w:pPr>
      <w:r>
        <w:rPr>
          <w:rFonts w:hint="eastAsia" w:ascii="仿宋" w:hAnsi="仿宋" w:eastAsia="仿宋" w:cs="仿宋"/>
          <w:b/>
          <w:sz w:val="28"/>
          <w:szCs w:val="28"/>
        </w:rPr>
        <w:t>第三条  接收专业、接收名额及条件</w:t>
      </w:r>
    </w:p>
    <w:p>
      <w:pPr>
        <w:spacing w:line="360" w:lineRule="auto"/>
        <w:ind w:firstLine="645"/>
        <w:rPr>
          <w:rFonts w:ascii="仿宋" w:hAnsi="仿宋" w:eastAsia="仿宋" w:cs="仿宋"/>
          <w:sz w:val="28"/>
          <w:szCs w:val="28"/>
        </w:rPr>
      </w:pPr>
      <w:r>
        <w:rPr>
          <w:rFonts w:hint="eastAsia" w:ascii="仿宋" w:hAnsi="仿宋" w:eastAsia="仿宋" w:cs="仿宋"/>
          <w:sz w:val="28"/>
          <w:szCs w:val="28"/>
        </w:rPr>
        <w:t>会计学院20</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学年第1学期可接收转专业的专业包括会计学、财务管理、审计学三个本科专业（20</w:t>
      </w:r>
      <w:r>
        <w:rPr>
          <w:rFonts w:hint="eastAsia" w:ascii="仿宋" w:hAnsi="仿宋" w:eastAsia="仿宋" w:cs="仿宋"/>
          <w:sz w:val="28"/>
          <w:szCs w:val="28"/>
          <w:lang w:val="en-US" w:eastAsia="zh-CN"/>
        </w:rPr>
        <w:t>20</w:t>
      </w:r>
      <w:r>
        <w:rPr>
          <w:rFonts w:hint="eastAsia" w:ascii="仿宋" w:hAnsi="仿宋" w:eastAsia="仿宋" w:cs="仿宋"/>
          <w:sz w:val="28"/>
          <w:szCs w:val="28"/>
        </w:rPr>
        <w:t>级针对全院符合条件的转专业学生，201</w:t>
      </w:r>
      <w:r>
        <w:rPr>
          <w:rFonts w:hint="eastAsia" w:ascii="仿宋" w:hAnsi="仿宋" w:eastAsia="仿宋" w:cs="仿宋"/>
          <w:sz w:val="28"/>
          <w:szCs w:val="28"/>
          <w:lang w:val="en-US" w:eastAsia="zh-CN"/>
        </w:rPr>
        <w:t>9</w:t>
      </w:r>
      <w:r>
        <w:rPr>
          <w:rFonts w:hint="eastAsia" w:ascii="仿宋" w:hAnsi="仿宋" w:eastAsia="仿宋" w:cs="仿宋"/>
          <w:sz w:val="28"/>
          <w:szCs w:val="28"/>
        </w:rPr>
        <w:t>级针对会计学院内符合条件的转专业学生）。</w:t>
      </w:r>
    </w:p>
    <w:p>
      <w:pPr>
        <w:spacing w:line="360" w:lineRule="auto"/>
        <w:ind w:firstLine="645"/>
        <w:rPr>
          <w:rFonts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级接收专业、接受名额及条件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各专业分别</w:t>
      </w:r>
      <w:r>
        <w:rPr>
          <w:rFonts w:hint="eastAsia" w:ascii="仿宋" w:hAnsi="仿宋" w:eastAsia="仿宋" w:cs="仿宋"/>
          <w:sz w:val="28"/>
          <w:szCs w:val="28"/>
        </w:rPr>
        <w:t>接收</w:t>
      </w:r>
      <w:r>
        <w:rPr>
          <w:rFonts w:hint="eastAsia" w:ascii="仿宋" w:hAnsi="仿宋" w:eastAsia="仿宋" w:cs="仿宋"/>
          <w:sz w:val="28"/>
          <w:szCs w:val="28"/>
          <w:lang w:val="en-US" w:eastAsia="zh-CN"/>
        </w:rPr>
        <w:t>5</w:t>
      </w:r>
      <w:r>
        <w:rPr>
          <w:rFonts w:hint="eastAsia" w:ascii="仿宋" w:hAnsi="仿宋" w:eastAsia="仿宋" w:cs="仿宋"/>
          <w:sz w:val="28"/>
          <w:szCs w:val="28"/>
        </w:rPr>
        <w:t>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接收条件：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符合《贵州商学院学生转专业管理细则（暂行）》第二章第三条规定之一的学生</w:t>
      </w:r>
      <w:r>
        <w:rPr>
          <w:rFonts w:hint="eastAsia" w:ascii="仿宋" w:hAnsi="仿宋" w:eastAsia="仿宋" w:cs="仿宋"/>
          <w:sz w:val="28"/>
          <w:szCs w:val="28"/>
          <w:lang w:eastAsia="zh-CN"/>
        </w:rPr>
        <w:t>（</w:t>
      </w:r>
      <w:r>
        <w:rPr>
          <w:rFonts w:hint="eastAsia" w:ascii="仿宋" w:hAnsi="仿宋" w:eastAsia="仿宋" w:cs="仿宋"/>
          <w:sz w:val="28"/>
          <w:szCs w:val="28"/>
        </w:rPr>
        <w:t>原则上不接收艺术传媒学院相关专业的学生</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学生高考英语成绩需达到</w:t>
      </w:r>
      <w:r>
        <w:rPr>
          <w:rFonts w:hint="eastAsia" w:ascii="仿宋" w:hAnsi="仿宋" w:eastAsia="仿宋" w:cs="仿宋"/>
          <w:sz w:val="28"/>
          <w:szCs w:val="28"/>
          <w:lang w:val="en-US" w:eastAsia="zh-CN"/>
        </w:rPr>
        <w:t>100</w:t>
      </w:r>
      <w:r>
        <w:rPr>
          <w:rFonts w:hint="eastAsia" w:ascii="仿宋" w:hAnsi="仿宋" w:eastAsia="仿宋" w:cs="仿宋"/>
          <w:sz w:val="28"/>
          <w:szCs w:val="28"/>
        </w:rPr>
        <w:t>分，高考数学成绩达</w:t>
      </w:r>
      <w:r>
        <w:rPr>
          <w:rFonts w:hint="eastAsia" w:ascii="仿宋" w:hAnsi="仿宋" w:eastAsia="仿宋" w:cs="仿宋"/>
          <w:sz w:val="28"/>
          <w:szCs w:val="28"/>
          <w:lang w:val="en-US" w:eastAsia="zh-CN"/>
        </w:rPr>
        <w:t>100</w:t>
      </w:r>
      <w:r>
        <w:rPr>
          <w:rFonts w:hint="eastAsia" w:ascii="仿宋" w:hAnsi="仿宋" w:eastAsia="仿宋" w:cs="仿宋"/>
          <w:sz w:val="28"/>
          <w:szCs w:val="28"/>
        </w:rPr>
        <w:t>分，</w:t>
      </w:r>
      <w:r>
        <w:rPr>
          <w:rFonts w:hint="eastAsia" w:ascii="仿宋" w:hAnsi="仿宋" w:eastAsia="仿宋" w:cs="仿宋"/>
          <w:sz w:val="28"/>
          <w:szCs w:val="28"/>
          <w:lang w:val="en-US" w:eastAsia="zh-CN"/>
        </w:rPr>
        <w:t>在分数相同的情况下按高考总成绩从高到低录取</w:t>
      </w:r>
      <w:r>
        <w:rPr>
          <w:rFonts w:hint="eastAsia" w:ascii="仿宋" w:hAnsi="仿宋" w:eastAsia="仿宋" w:cs="仿宋"/>
          <w:sz w:val="28"/>
          <w:szCs w:val="28"/>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201</w:t>
      </w:r>
      <w:r>
        <w:rPr>
          <w:rFonts w:hint="eastAsia" w:ascii="仿宋" w:hAnsi="仿宋" w:eastAsia="仿宋" w:cs="仿宋"/>
          <w:sz w:val="28"/>
          <w:szCs w:val="28"/>
          <w:lang w:val="en-US" w:eastAsia="zh-CN"/>
        </w:rPr>
        <w:t>9</w:t>
      </w:r>
      <w:r>
        <w:rPr>
          <w:rFonts w:hint="eastAsia" w:ascii="仿宋" w:hAnsi="仿宋" w:eastAsia="仿宋" w:cs="仿宋"/>
          <w:sz w:val="28"/>
          <w:szCs w:val="28"/>
        </w:rPr>
        <w:t>级接收专业、接受名额及条件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val="en-US" w:eastAsia="zh-CN"/>
        </w:rPr>
        <w:t>9</w:t>
      </w:r>
      <w:r>
        <w:rPr>
          <w:rFonts w:hint="eastAsia" w:ascii="仿宋" w:hAnsi="仿宋" w:eastAsia="仿宋" w:cs="仿宋"/>
          <w:sz w:val="28"/>
          <w:szCs w:val="28"/>
        </w:rPr>
        <w:t>级仅针对会计学院内符合条件的转专业学生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各专业</w:t>
      </w:r>
      <w:r>
        <w:rPr>
          <w:rFonts w:hint="eastAsia" w:ascii="仿宋" w:hAnsi="仿宋" w:eastAsia="仿宋" w:cs="仿宋"/>
          <w:sz w:val="28"/>
          <w:szCs w:val="28"/>
        </w:rPr>
        <w:t>接收2人。</w:t>
      </w:r>
    </w:p>
    <w:p>
      <w:pPr>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接收条件：符合《贵州商学院学生转专业管理细则（暂行）》第二章第三条规定之一的学生，且在校已修读课程无补考、平均学分绩点达到2.0；根据</w:t>
      </w:r>
      <w:r>
        <w:rPr>
          <w:rFonts w:hint="eastAsia" w:ascii="仿宋" w:hAnsi="仿宋" w:eastAsia="仿宋" w:cs="仿宋"/>
          <w:sz w:val="28"/>
          <w:szCs w:val="28"/>
          <w:lang w:val="en-US" w:eastAsia="zh-CN"/>
        </w:rPr>
        <w:t>学分绩点</w:t>
      </w:r>
      <w:r>
        <w:rPr>
          <w:rFonts w:hint="eastAsia" w:ascii="仿宋" w:hAnsi="仿宋" w:eastAsia="仿宋" w:cs="仿宋"/>
          <w:sz w:val="28"/>
          <w:szCs w:val="28"/>
        </w:rPr>
        <w:t>由高到低录取。</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sz w:val="30"/>
          <w:szCs w:val="30"/>
          <w:u w:val="none"/>
          <w:shd w:val="clear" w:color="auto" w:fill="auto"/>
        </w:rPr>
      </w:pPr>
      <w:r>
        <w:rPr>
          <w:rFonts w:hint="eastAsia" w:ascii="仿宋" w:hAnsi="仿宋" w:eastAsia="仿宋" w:cs="仿宋"/>
          <w:b/>
          <w:bCs/>
          <w:sz w:val="30"/>
          <w:szCs w:val="30"/>
          <w:u w:val="none"/>
          <w:shd w:val="clear" w:color="auto" w:fill="auto"/>
        </w:rPr>
        <w:t>第</w:t>
      </w:r>
      <w:r>
        <w:rPr>
          <w:rFonts w:hint="eastAsia" w:ascii="仿宋" w:hAnsi="仿宋" w:eastAsia="仿宋" w:cs="仿宋"/>
          <w:b/>
          <w:bCs/>
          <w:sz w:val="30"/>
          <w:szCs w:val="30"/>
          <w:u w:val="none"/>
          <w:shd w:val="clear" w:color="auto" w:fill="auto"/>
          <w:lang w:val="en-US" w:eastAsia="zh-CN"/>
        </w:rPr>
        <w:t>四</w:t>
      </w:r>
      <w:r>
        <w:rPr>
          <w:rFonts w:hint="eastAsia" w:ascii="仿宋" w:hAnsi="仿宋" w:eastAsia="仿宋" w:cs="仿宋"/>
          <w:b/>
          <w:bCs/>
          <w:sz w:val="30"/>
          <w:szCs w:val="30"/>
          <w:u w:val="none"/>
          <w:shd w:val="clear" w:color="auto" w:fill="auto"/>
        </w:rPr>
        <w:t>条</w:t>
      </w:r>
      <w:r>
        <w:rPr>
          <w:rFonts w:hint="eastAsia" w:ascii="仿宋" w:hAnsi="仿宋" w:eastAsia="仿宋" w:cs="仿宋"/>
          <w:b/>
          <w:bCs/>
          <w:sz w:val="30"/>
          <w:szCs w:val="30"/>
          <w:u w:val="none"/>
          <w:shd w:val="clear" w:color="auto" w:fill="auto"/>
          <w:lang w:val="en-US" w:eastAsia="zh-CN"/>
        </w:rPr>
        <w:t xml:space="preserve"> </w:t>
      </w:r>
      <w:r>
        <w:rPr>
          <w:rFonts w:hint="eastAsia" w:ascii="仿宋" w:hAnsi="仿宋" w:eastAsia="仿宋" w:cs="仿宋"/>
          <w:b/>
          <w:sz w:val="30"/>
          <w:szCs w:val="30"/>
          <w:u w:val="none"/>
          <w:shd w:val="clear" w:color="auto" w:fill="auto"/>
        </w:rPr>
        <w:t>考核地点及时间安排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shd w:val="clear" w:color="auto" w:fill="auto"/>
        </w:rPr>
      </w:pPr>
      <w:r>
        <w:rPr>
          <w:rFonts w:hint="eastAsia" w:ascii="仿宋" w:hAnsi="仿宋" w:eastAsia="仿宋" w:cs="仿宋"/>
          <w:sz w:val="30"/>
          <w:szCs w:val="30"/>
          <w:u w:val="none"/>
          <w:shd w:val="clear" w:color="auto" w:fill="auto"/>
        </w:rPr>
        <w:t>时间：具体时间另行通知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shd w:val="clear" w:color="auto" w:fill="auto"/>
        </w:rPr>
      </w:pPr>
      <w:r>
        <w:rPr>
          <w:rFonts w:hint="eastAsia" w:ascii="仿宋" w:hAnsi="仿宋" w:eastAsia="仿宋" w:cs="仿宋"/>
          <w:sz w:val="30"/>
          <w:szCs w:val="30"/>
          <w:u w:val="none"/>
          <w:shd w:val="clear" w:color="auto" w:fill="auto"/>
        </w:rPr>
        <w:t>地点：尚信楼</w:t>
      </w:r>
      <w:r>
        <w:rPr>
          <w:rFonts w:hint="eastAsia" w:ascii="仿宋" w:hAnsi="仿宋" w:eastAsia="仿宋" w:cs="仿宋"/>
          <w:sz w:val="30"/>
          <w:szCs w:val="30"/>
          <w:u w:val="none"/>
          <w:shd w:val="clear" w:color="auto" w:fill="auto"/>
          <w:lang w:val="en-US" w:eastAsia="zh-CN"/>
        </w:rPr>
        <w:t>1B511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shd w:val="clear" w:color="auto" w:fill="auto"/>
        </w:rPr>
      </w:pPr>
      <w:r>
        <w:rPr>
          <w:rFonts w:hint="eastAsia" w:ascii="仿宋" w:hAnsi="仿宋" w:eastAsia="仿宋" w:cs="仿宋"/>
          <w:sz w:val="30"/>
          <w:szCs w:val="30"/>
          <w:u w:val="none"/>
          <w:shd w:val="clear" w:color="auto" w:fill="auto"/>
        </w:rPr>
        <w:t>最终拟录取名单由</w:t>
      </w:r>
      <w:r>
        <w:rPr>
          <w:rFonts w:hint="eastAsia" w:ascii="仿宋" w:hAnsi="仿宋" w:eastAsia="仿宋" w:cs="仿宋"/>
          <w:sz w:val="30"/>
          <w:szCs w:val="30"/>
          <w:u w:val="none"/>
          <w:shd w:val="clear" w:color="auto" w:fill="auto"/>
          <w:lang w:eastAsia="zh-CN"/>
        </w:rPr>
        <w:t>会计学院</w:t>
      </w:r>
      <w:r>
        <w:rPr>
          <w:rFonts w:hint="eastAsia" w:ascii="仿宋" w:hAnsi="仿宋" w:eastAsia="仿宋" w:cs="仿宋"/>
          <w:sz w:val="30"/>
          <w:szCs w:val="30"/>
          <w:u w:val="none"/>
          <w:shd w:val="clear" w:color="auto" w:fill="auto"/>
        </w:rPr>
        <w:t>转专业工作小组成员集体签字后，经</w:t>
      </w:r>
      <w:r>
        <w:rPr>
          <w:rFonts w:hint="eastAsia" w:ascii="仿宋" w:hAnsi="仿宋" w:eastAsia="仿宋" w:cs="仿宋"/>
          <w:sz w:val="30"/>
          <w:szCs w:val="30"/>
          <w:u w:val="none"/>
          <w:shd w:val="clear" w:color="auto" w:fill="auto"/>
          <w:lang w:eastAsia="zh-CN"/>
        </w:rPr>
        <w:t>会计学院</w:t>
      </w:r>
      <w:r>
        <w:rPr>
          <w:rFonts w:hint="eastAsia" w:ascii="仿宋" w:hAnsi="仿宋" w:eastAsia="仿宋" w:cs="仿宋"/>
          <w:sz w:val="30"/>
          <w:szCs w:val="30"/>
          <w:u w:val="none"/>
          <w:shd w:val="clear" w:color="auto" w:fill="auto"/>
        </w:rPr>
        <w:t>党政联席会议讨论，形成党政联席会会议纪要，并提交教务处予以公示。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u w:val="none"/>
          <w:shd w:val="clear" w:color="auto" w:fill="auto"/>
        </w:rPr>
      </w:pPr>
      <w:r>
        <w:rPr>
          <w:rFonts w:hint="eastAsia" w:ascii="仿宋" w:hAnsi="仿宋" w:eastAsia="仿宋" w:cs="仿宋"/>
          <w:sz w:val="30"/>
          <w:szCs w:val="30"/>
          <w:u w:val="none"/>
          <w:shd w:val="clear" w:color="auto" w:fill="auto"/>
        </w:rPr>
        <w:t>转专业考核结束后，所有考核材料汇总整理并归档。</w:t>
      </w:r>
      <w:r>
        <w:rPr>
          <w:rFonts w:hint="eastAsia" w:ascii="仿宋" w:hAnsi="仿宋" w:eastAsia="仿宋" w:cs="仿宋"/>
          <w:sz w:val="30"/>
          <w:szCs w:val="30"/>
          <w:u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shd w:val="clear" w:color="auto" w:fill="auto"/>
        </w:rPr>
      </w:pPr>
      <w:r>
        <w:rPr>
          <w:rFonts w:hint="eastAsia" w:ascii="仿宋" w:hAnsi="仿宋" w:eastAsia="仿宋" w:cs="仿宋"/>
          <w:color w:val="000000"/>
          <w:sz w:val="30"/>
          <w:szCs w:val="30"/>
          <w:u w:val="none"/>
          <w:shd w:val="clear" w:color="auto" w:fill="auto"/>
        </w:rPr>
        <w:t>附件：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shd w:val="clear" w:color="auto" w:fill="auto"/>
        </w:rPr>
      </w:pPr>
      <w:r>
        <w:rPr>
          <w:rFonts w:hint="eastAsia" w:ascii="仿宋" w:hAnsi="仿宋" w:eastAsia="仿宋" w:cs="仿宋"/>
          <w:color w:val="000000"/>
          <w:sz w:val="30"/>
          <w:szCs w:val="30"/>
          <w:u w:val="none"/>
          <w:shd w:val="clear" w:color="auto" w:fill="auto"/>
          <w:lang w:val="en-US" w:eastAsia="zh-CN"/>
        </w:rPr>
        <w:t>1.</w:t>
      </w:r>
      <w:r>
        <w:rPr>
          <w:rFonts w:hint="eastAsia" w:ascii="仿宋" w:hAnsi="仿宋" w:eastAsia="仿宋" w:cs="仿宋"/>
          <w:color w:val="000000"/>
          <w:sz w:val="30"/>
          <w:szCs w:val="30"/>
          <w:u w:val="none"/>
          <w:shd w:val="clear" w:color="auto" w:fill="auto"/>
        </w:rPr>
        <w:t>“</w:t>
      </w:r>
      <w:r>
        <w:rPr>
          <w:rFonts w:hint="eastAsia" w:ascii="仿宋" w:hAnsi="仿宋" w:eastAsia="仿宋" w:cs="仿宋"/>
          <w:color w:val="000000"/>
          <w:sz w:val="30"/>
          <w:szCs w:val="30"/>
          <w:u w:val="none"/>
          <w:shd w:val="clear" w:color="auto" w:fill="auto"/>
          <w:lang w:val="en-US" w:eastAsia="zh-CN"/>
        </w:rPr>
        <w:t>会计学院</w:t>
      </w:r>
      <w:r>
        <w:rPr>
          <w:rFonts w:hint="eastAsia" w:ascii="仿宋" w:hAnsi="仿宋" w:eastAsia="仿宋" w:cs="仿宋"/>
          <w:color w:val="000000"/>
          <w:sz w:val="30"/>
          <w:szCs w:val="30"/>
          <w:u w:val="none"/>
          <w:shd w:val="clear" w:color="auto" w:fill="auto"/>
        </w:rPr>
        <w:t>xx专业”转专业考核成绩汇总表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u w:val="none"/>
          <w:shd w:val="clear" w:color="auto" w:fill="auto"/>
        </w:rPr>
      </w:pPr>
      <w:r>
        <w:rPr>
          <w:rFonts w:hint="eastAsia" w:ascii="仿宋" w:hAnsi="仿宋" w:eastAsia="仿宋" w:cs="仿宋"/>
          <w:color w:val="000000"/>
          <w:sz w:val="30"/>
          <w:szCs w:val="30"/>
          <w:u w:val="none"/>
          <w:shd w:val="clear" w:color="auto" w:fill="auto"/>
          <w:lang w:val="en-US" w:eastAsia="zh-CN"/>
        </w:rPr>
        <w:t>2.</w:t>
      </w:r>
      <w:r>
        <w:rPr>
          <w:rFonts w:hint="eastAsia" w:ascii="仿宋" w:hAnsi="仿宋" w:eastAsia="仿宋" w:cs="仿宋"/>
          <w:color w:val="000000"/>
          <w:sz w:val="30"/>
          <w:szCs w:val="30"/>
          <w:u w:val="none"/>
          <w:shd w:val="clear" w:color="auto" w:fill="auto"/>
        </w:rPr>
        <w:t>“</w:t>
      </w:r>
      <w:r>
        <w:rPr>
          <w:rFonts w:hint="eastAsia" w:ascii="仿宋" w:hAnsi="仿宋" w:eastAsia="仿宋" w:cs="仿宋"/>
          <w:color w:val="000000"/>
          <w:sz w:val="30"/>
          <w:szCs w:val="30"/>
          <w:u w:val="none"/>
          <w:shd w:val="clear" w:color="auto" w:fill="auto"/>
          <w:lang w:val="en-US" w:eastAsia="zh-CN"/>
        </w:rPr>
        <w:t>会计学院</w:t>
      </w:r>
      <w:r>
        <w:rPr>
          <w:rFonts w:hint="eastAsia" w:ascii="仿宋" w:hAnsi="仿宋" w:eastAsia="仿宋" w:cs="仿宋"/>
          <w:color w:val="000000"/>
          <w:sz w:val="30"/>
          <w:szCs w:val="30"/>
          <w:u w:val="none"/>
          <w:shd w:val="clear" w:color="auto" w:fill="auto"/>
        </w:rPr>
        <w:t xml:space="preserve"> xx专业”转专业拟录取学生名单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u w:val="none"/>
          <w:shd w:val="clear" w:color="auto" w:fill="auto"/>
          <w:lang w:val="en-US" w:eastAsia="zh-CN"/>
        </w:rPr>
      </w:pPr>
      <w:r>
        <w:rPr>
          <w:rFonts w:hint="eastAsia" w:ascii="仿宋" w:hAnsi="仿宋" w:eastAsia="仿宋" w:cs="仿宋"/>
          <w:sz w:val="30"/>
          <w:szCs w:val="30"/>
          <w:u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u w:val="none"/>
          <w:shd w:val="clear" w:color="auto" w:fill="auto"/>
          <w:lang w:eastAsia="zh-CN"/>
        </w:rPr>
      </w:pPr>
      <w:r>
        <w:rPr>
          <w:rFonts w:hint="eastAsia" w:ascii="仿宋" w:hAnsi="仿宋" w:eastAsia="仿宋" w:cs="仿宋"/>
          <w:sz w:val="30"/>
          <w:szCs w:val="30"/>
          <w:u w:val="none"/>
          <w:shd w:val="clear" w:color="auto" w:fill="auto"/>
          <w:lang w:val="en-US" w:eastAsia="zh-CN"/>
        </w:rPr>
        <w:t xml:space="preserve">                                      </w:t>
      </w:r>
      <w:r>
        <w:rPr>
          <w:rFonts w:hint="eastAsia" w:ascii="仿宋" w:hAnsi="仿宋" w:eastAsia="仿宋" w:cs="仿宋"/>
          <w:sz w:val="30"/>
          <w:szCs w:val="30"/>
          <w:u w:val="none"/>
          <w:shd w:val="clear" w:color="auto" w:fill="auto"/>
          <w:lang w:eastAsia="zh-CN"/>
        </w:rPr>
        <w:t>会计学院</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0"/>
          <w:szCs w:val="30"/>
          <w:u w:val="none"/>
          <w:shd w:val="clear" w:color="auto" w:fill="auto"/>
        </w:rPr>
      </w:pPr>
      <w:r>
        <w:rPr>
          <w:rFonts w:hint="eastAsia" w:ascii="仿宋" w:hAnsi="仿宋" w:eastAsia="仿宋" w:cs="仿宋"/>
          <w:sz w:val="30"/>
          <w:szCs w:val="30"/>
          <w:u w:val="none"/>
          <w:shd w:val="clear" w:color="auto" w:fill="auto"/>
        </w:rPr>
        <w:t>20</w:t>
      </w:r>
      <w:r>
        <w:rPr>
          <w:rFonts w:hint="eastAsia" w:ascii="仿宋" w:hAnsi="仿宋" w:eastAsia="仿宋" w:cs="仿宋"/>
          <w:sz w:val="30"/>
          <w:szCs w:val="30"/>
          <w:u w:val="none"/>
          <w:shd w:val="clear" w:color="auto" w:fill="auto"/>
          <w:lang w:val="en-US" w:eastAsia="zh-CN"/>
        </w:rPr>
        <w:t>20</w:t>
      </w:r>
      <w:r>
        <w:rPr>
          <w:rFonts w:hint="eastAsia" w:ascii="仿宋" w:hAnsi="仿宋" w:eastAsia="仿宋" w:cs="仿宋"/>
          <w:sz w:val="30"/>
          <w:szCs w:val="30"/>
          <w:u w:val="none"/>
          <w:shd w:val="clear" w:color="auto" w:fill="auto"/>
        </w:rPr>
        <w:t>年</w:t>
      </w:r>
      <w:r>
        <w:rPr>
          <w:rFonts w:hint="eastAsia" w:ascii="仿宋" w:hAnsi="仿宋" w:eastAsia="仿宋" w:cs="仿宋"/>
          <w:sz w:val="30"/>
          <w:szCs w:val="30"/>
          <w:u w:val="none"/>
          <w:shd w:val="clear" w:color="auto" w:fill="auto"/>
          <w:lang w:val="en-US" w:eastAsia="zh-CN"/>
        </w:rPr>
        <w:t>11</w:t>
      </w:r>
      <w:r>
        <w:rPr>
          <w:rFonts w:hint="eastAsia" w:ascii="仿宋" w:hAnsi="仿宋" w:eastAsia="仿宋" w:cs="仿宋"/>
          <w:sz w:val="30"/>
          <w:szCs w:val="30"/>
          <w:u w:val="none"/>
          <w:shd w:val="clear" w:color="auto" w:fill="auto"/>
        </w:rPr>
        <w:t>月</w:t>
      </w:r>
      <w:r>
        <w:rPr>
          <w:rFonts w:hint="eastAsia" w:ascii="仿宋" w:hAnsi="仿宋" w:eastAsia="仿宋" w:cs="仿宋"/>
          <w:sz w:val="30"/>
          <w:szCs w:val="30"/>
          <w:u w:val="none"/>
          <w:shd w:val="clear" w:color="auto" w:fill="auto"/>
          <w:lang w:val="en-US" w:eastAsia="zh-CN"/>
        </w:rPr>
        <w:t>18</w:t>
      </w:r>
      <w:r>
        <w:rPr>
          <w:rFonts w:hint="eastAsia" w:ascii="仿宋" w:hAnsi="仿宋" w:eastAsia="仿宋" w:cs="仿宋"/>
          <w:sz w:val="30"/>
          <w:szCs w:val="30"/>
          <w:u w:val="none"/>
          <w:shd w:val="clear" w:color="auto" w:fill="auto"/>
        </w:rPr>
        <w:t>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
          <w:sz w:val="30"/>
          <w:szCs w:val="30"/>
          <w:u w:val="none"/>
          <w:shd w:val="clear" w:color="auto" w:fill="auto"/>
        </w:rPr>
        <w:sectPr>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before="78" w:after="78" w:line="360" w:lineRule="auto"/>
        <w:textAlignment w:val="auto"/>
        <w:rPr>
          <w:rFonts w:hint="eastAsia" w:ascii="宋体" w:hAnsi="宋体" w:cs="宋体"/>
          <w:b/>
          <w:sz w:val="44"/>
          <w:szCs w:val="44"/>
        </w:rPr>
      </w:pPr>
      <w:r>
        <w:rPr>
          <w:rFonts w:hint="eastAsia" w:ascii="宋体" w:hAnsi="宋体" w:cs="宋体"/>
          <w:sz w:val="24"/>
        </w:rPr>
        <w:t>附件1</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000000"/>
          <w:sz w:val="32"/>
          <w:szCs w:val="32"/>
        </w:rPr>
      </w:pPr>
      <w:r>
        <w:rPr>
          <w:rFonts w:hint="eastAsia"/>
          <w:b/>
          <w:color w:val="000000"/>
          <w:sz w:val="32"/>
          <w:szCs w:val="32"/>
        </w:rPr>
        <w:t>“XXXX专业”转专业考核成绩汇总表</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74"/>
        <w:gridCol w:w="1261"/>
        <w:gridCol w:w="1260"/>
        <w:gridCol w:w="1457"/>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000000"/>
              </w:rPr>
            </w:pPr>
            <w:r>
              <w:rPr>
                <w:rFonts w:hint="eastAsia"/>
                <w:color w:val="000000"/>
              </w:rPr>
              <w:t>序号</w:t>
            </w:r>
          </w:p>
        </w:tc>
        <w:tc>
          <w:tcPr>
            <w:tcW w:w="1074"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000000"/>
              </w:rPr>
            </w:pPr>
            <w:r>
              <w:rPr>
                <w:rFonts w:hint="eastAsia"/>
                <w:color w:val="000000"/>
              </w:rPr>
              <w:t>姓名</w:t>
            </w:r>
          </w:p>
        </w:tc>
        <w:tc>
          <w:tcPr>
            <w:tcW w:w="126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000000"/>
              </w:rPr>
            </w:pPr>
            <w:r>
              <w:rPr>
                <w:rFonts w:hint="eastAsia"/>
                <w:color w:val="000000"/>
              </w:rPr>
              <w:t>原专业</w:t>
            </w:r>
          </w:p>
        </w:tc>
        <w:tc>
          <w:tcPr>
            <w:tcW w:w="126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000000"/>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Theme="minorEastAsia"/>
                <w:color w:val="000000"/>
                <w:lang w:val="en-US" w:eastAsia="zh-CN"/>
              </w:rPr>
            </w:pPr>
            <w:r>
              <w:rPr>
                <w:rFonts w:hint="eastAsia"/>
                <w:color w:val="000000"/>
              </w:rPr>
              <w:t>高考</w:t>
            </w:r>
            <w:r>
              <w:rPr>
                <w:rFonts w:hint="eastAsia"/>
                <w:color w:val="000000"/>
                <w:lang w:val="en-US" w:eastAsia="zh-CN"/>
              </w:rPr>
              <w:t>数学成绩</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000000"/>
              </w:rPr>
            </w:pPr>
          </w:p>
        </w:tc>
        <w:tc>
          <w:tcPr>
            <w:tcW w:w="145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Theme="minorEastAsia"/>
                <w:color w:val="000000"/>
                <w:lang w:val="en-US" w:eastAsia="zh-CN"/>
              </w:rPr>
            </w:pPr>
            <w:r>
              <w:rPr>
                <w:rFonts w:hint="eastAsia" w:ascii="宋体" w:hAnsi="宋体" w:cs="宋体"/>
                <w:color w:val="000000"/>
                <w:szCs w:val="21"/>
                <w:lang w:val="en-US" w:eastAsia="zh-CN"/>
              </w:rPr>
              <w:t>高考英语成绩</w:t>
            </w:r>
          </w:p>
        </w:tc>
        <w:tc>
          <w:tcPr>
            <w:tcW w:w="1484"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Theme="minorEastAsia"/>
                <w:color w:val="000000"/>
                <w:lang w:val="en-US" w:eastAsia="zh-CN"/>
              </w:rPr>
            </w:pPr>
            <w:r>
              <w:rPr>
                <w:rFonts w:hint="eastAsia"/>
                <w:color w:val="000000"/>
                <w:lang w:val="en-US" w:eastAsia="zh-CN"/>
              </w:rPr>
              <w:t>高考总成绩</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Theme="minorEastAsia"/>
                <w:color w:val="000000"/>
                <w:lang w:val="en-US" w:eastAsia="zh-CN"/>
              </w:rPr>
            </w:pPr>
            <w:r>
              <w:rPr>
                <w:rFonts w:hint="eastAsia"/>
                <w:color w:val="000000"/>
                <w:lang w:val="en-US" w:eastAsia="zh-CN"/>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2</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3</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4</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5</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6</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7</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8</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 w:val="18"/>
                <w:szCs w:val="18"/>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9</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10</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11</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12</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13</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14</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15</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16</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17</w:t>
            </w:r>
          </w:p>
        </w:tc>
        <w:tc>
          <w:tcPr>
            <w:tcW w:w="10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18</w:t>
            </w:r>
          </w:p>
        </w:tc>
        <w:tc>
          <w:tcPr>
            <w:tcW w:w="1074"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2"/>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000000"/>
              </w:rPr>
            </w:pPr>
            <w:r>
              <w:rPr>
                <w:rFonts w:hint="eastAsia" w:ascii="宋体" w:hAnsi="宋体"/>
                <w:color w:val="000000"/>
              </w:rPr>
              <w:t>19</w:t>
            </w:r>
          </w:p>
        </w:tc>
        <w:tc>
          <w:tcPr>
            <w:tcW w:w="1074"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2"/>
              </w:rPr>
            </w:pPr>
          </w:p>
        </w:tc>
        <w:tc>
          <w:tcPr>
            <w:tcW w:w="126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p>
        </w:tc>
        <w:tc>
          <w:tcPr>
            <w:tcW w:w="1260" w:type="dxa"/>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57"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84"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c>
          <w:tcPr>
            <w:tcW w:w="1470" w:type="dxa"/>
            <w:noWrap w:val="0"/>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sz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sz w:val="24"/>
        </w:rPr>
      </w:pPr>
      <w:r>
        <w:rPr>
          <w:rFonts w:hint="eastAsia"/>
          <w:color w:val="000000"/>
          <w:sz w:val="24"/>
        </w:rPr>
        <w:t>转专业工作小组签字：</w:t>
      </w:r>
    </w:p>
    <w:p>
      <w:pPr>
        <w:keepNext w:val="0"/>
        <w:keepLines w:val="0"/>
        <w:pageBreakBefore w:val="0"/>
        <w:kinsoku/>
        <w:wordWrap/>
        <w:overflowPunct/>
        <w:topLinePunct w:val="0"/>
        <w:autoSpaceDE/>
        <w:autoSpaceDN/>
        <w:bidi w:val="0"/>
        <w:adjustRightInd/>
        <w:snapToGrid/>
        <w:spacing w:line="360" w:lineRule="auto"/>
        <w:textAlignment w:val="auto"/>
        <w:rPr>
          <w:color w:val="000000"/>
          <w:sz w:val="24"/>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color w:val="000000"/>
          <w:sz w:val="24"/>
        </w:rPr>
      </w:pPr>
      <w:r>
        <w:rPr>
          <w:rFonts w:hint="eastAsia"/>
          <w:color w:val="000000"/>
          <w:sz w:val="24"/>
          <w:lang w:val="en-US" w:eastAsia="zh-CN"/>
        </w:rPr>
        <w:t>会计</w:t>
      </w:r>
      <w:r>
        <w:rPr>
          <w:rFonts w:hint="eastAsia"/>
          <w:color w:val="000000"/>
          <w:sz w:val="24"/>
        </w:rPr>
        <w:t xml:space="preserve">学院（公章）                                                                                     </w:t>
      </w:r>
      <w:r>
        <w:rPr>
          <w:rFonts w:hint="eastAsia" w:ascii="宋体" w:hAnsi="宋体"/>
          <w:color w:val="000000"/>
          <w:sz w:val="24"/>
        </w:rPr>
        <w:t>年     月     日</w:t>
      </w:r>
    </w:p>
    <w:p>
      <w:pPr>
        <w:keepNext w:val="0"/>
        <w:keepLines w:val="0"/>
        <w:pageBreakBefore w:val="0"/>
        <w:kinsoku/>
        <w:wordWrap/>
        <w:overflowPunct/>
        <w:topLinePunct w:val="0"/>
        <w:autoSpaceDE/>
        <w:autoSpaceDN/>
        <w:bidi w:val="0"/>
        <w:adjustRightInd/>
        <w:snapToGrid/>
        <w:spacing w:before="78" w:after="78" w:line="360" w:lineRule="auto"/>
        <w:ind w:right="640"/>
        <w:textAlignment w:val="auto"/>
        <w:rPr>
          <w:rFonts w:hint="eastAsia" w:ascii="宋体" w:hAnsi="宋体"/>
          <w:color w:val="000000"/>
          <w:sz w:val="28"/>
          <w:szCs w:val="28"/>
        </w:rPr>
        <w:sectPr>
          <w:pgSz w:w="11906" w:h="16838"/>
          <w:pgMar w:top="1134" w:right="1797" w:bottom="1134" w:left="1797"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textAlignment w:val="auto"/>
        <w:rPr>
          <w:rFonts w:hint="eastAsia" w:eastAsiaTheme="minorEastAsia"/>
          <w:b/>
          <w:color w:val="000000"/>
          <w:sz w:val="32"/>
          <w:szCs w:val="32"/>
          <w:lang w:val="en-US" w:eastAsia="zh-CN"/>
        </w:rPr>
      </w:pPr>
      <w:r>
        <w:rPr>
          <w:rFonts w:hint="eastAsia"/>
          <w:color w:val="000000"/>
          <w:sz w:val="24"/>
        </w:rPr>
        <w:t>附件</w:t>
      </w:r>
      <w:r>
        <w:rPr>
          <w:rFonts w:hint="eastAsia"/>
          <w:color w:val="000000"/>
          <w:sz w:val="24"/>
          <w:lang w:val="en-US" w:eastAsia="zh-CN"/>
        </w:rPr>
        <w:t>2</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sz w:val="32"/>
          <w:szCs w:val="32"/>
        </w:rPr>
      </w:pPr>
      <w:r>
        <w:rPr>
          <w:rFonts w:hint="eastAsia"/>
          <w:b/>
          <w:color w:val="000000"/>
          <w:sz w:val="32"/>
          <w:szCs w:val="32"/>
        </w:rPr>
        <w:t>“XXXX专业”转专业拟录取学生名单</w:t>
      </w:r>
    </w:p>
    <w:tbl>
      <w:tblPr>
        <w:tblStyle w:val="4"/>
        <w:tblpPr w:leftFromText="180" w:rightFromText="180" w:vertAnchor="text" w:horzAnchor="margin" w:tblpXSpec="center" w:tblpY="158"/>
        <w:tblW w:w="8528" w:type="dxa"/>
        <w:tblInd w:w="0" w:type="dxa"/>
        <w:tblLayout w:type="fixed"/>
        <w:tblCellMar>
          <w:top w:w="0" w:type="dxa"/>
          <w:left w:w="108" w:type="dxa"/>
          <w:bottom w:w="0" w:type="dxa"/>
          <w:right w:w="108" w:type="dxa"/>
        </w:tblCellMar>
      </w:tblPr>
      <w:tblGrid>
        <w:gridCol w:w="718"/>
        <w:gridCol w:w="1324"/>
        <w:gridCol w:w="1676"/>
        <w:gridCol w:w="1905"/>
        <w:gridCol w:w="1905"/>
        <w:gridCol w:w="1000"/>
      </w:tblGrid>
      <w:tr>
        <w:tblPrEx>
          <w:tblCellMar>
            <w:top w:w="0" w:type="dxa"/>
            <w:left w:w="108" w:type="dxa"/>
            <w:bottom w:w="0" w:type="dxa"/>
            <w:right w:w="108" w:type="dxa"/>
          </w:tblCellMar>
        </w:tblPrEx>
        <w:trPr>
          <w:trHeight w:val="27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kern w:val="0"/>
                <w:sz w:val="22"/>
              </w:rPr>
            </w:pPr>
            <w:r>
              <w:rPr>
                <w:rFonts w:hint="eastAsia" w:ascii="宋体" w:hAnsi="宋体" w:cs="宋体"/>
                <w:b/>
                <w:bCs/>
                <w:color w:val="000000"/>
                <w:kern w:val="0"/>
                <w:sz w:val="22"/>
              </w:rPr>
              <w:t>序号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姓名</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学号</w:t>
            </w: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原二级学院</w:t>
            </w:r>
          </w:p>
        </w:tc>
        <w:tc>
          <w:tcPr>
            <w:tcW w:w="190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原专业</w:t>
            </w:r>
          </w:p>
        </w:tc>
        <w:tc>
          <w:tcPr>
            <w:tcW w:w="10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kern w:val="0"/>
                <w:sz w:val="22"/>
              </w:rPr>
            </w:pPr>
            <w:r>
              <w:rPr>
                <w:rFonts w:hint="eastAsia" w:ascii="宋体" w:hAnsi="宋体" w:cs="宋体"/>
                <w:b/>
                <w:bCs/>
                <w:color w:val="000000"/>
                <w:kern w:val="0"/>
                <w:sz w:val="22"/>
              </w:rPr>
              <w:t>考核总排名</w:t>
            </w: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1</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2</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3</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4</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5</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6</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7</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8</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9</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10</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11</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12</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13</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14</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15</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kern w:val="0"/>
                <w:szCs w:val="21"/>
              </w:rPr>
            </w:pPr>
            <w:r>
              <w:rPr>
                <w:rFonts w:hint="eastAsia" w:ascii="宋体" w:hAnsi="宋体" w:cs="宋体"/>
                <w:color w:val="000000"/>
                <w:kern w:val="0"/>
                <w:szCs w:val="21"/>
              </w:rPr>
              <w:t>16</w:t>
            </w:r>
          </w:p>
        </w:tc>
        <w:tc>
          <w:tcPr>
            <w:tcW w:w="132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6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90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c>
          <w:tcPr>
            <w:tcW w:w="10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1"/>
              </w:rPr>
            </w:pPr>
          </w:p>
        </w:tc>
      </w:tr>
    </w:tbl>
    <w:p>
      <w:pPr>
        <w:rPr>
          <w:rFonts w:hint="eastAsia" w:ascii="仿宋" w:hAnsi="仿宋" w:eastAsia="仿宋" w:cs="仿宋"/>
          <w:b w:val="0"/>
          <w:bCs w:val="0"/>
          <w:sz w:val="32"/>
          <w:szCs w:val="32"/>
          <w:lang w:val="en-US" w:eastAsia="zh-CN"/>
        </w:rPr>
      </w:pPr>
    </w:p>
    <w:p>
      <w:pPr>
        <w:jc w:val="center"/>
        <w:rPr>
          <w:rFonts w:hint="default" w:asciiTheme="majorEastAsia" w:hAnsiTheme="majorEastAsia" w:eastAsiaTheme="majorEastAsia" w:cstheme="majorEastAsia"/>
          <w:b w:val="0"/>
          <w:bCs w:val="0"/>
          <w:sz w:val="44"/>
          <w:szCs w:val="44"/>
          <w:lang w:val="en-US" w:eastAsia="zh-CN"/>
        </w:rPr>
      </w:pPr>
    </w:p>
    <w:p>
      <w:pPr>
        <w:spacing w:line="360" w:lineRule="auto"/>
        <w:ind w:firstLine="560" w:firstLineChars="200"/>
        <w:jc w:val="right"/>
        <w:rPr>
          <w:rFonts w:ascii="仿宋" w:hAnsi="仿宋" w:eastAsia="仿宋" w:cs="仿宋"/>
          <w:sz w:val="28"/>
          <w:szCs w:val="28"/>
          <w:highlight w:val="none"/>
        </w:rPr>
      </w:pPr>
    </w:p>
    <w:p>
      <w:pPr>
        <w:spacing w:line="360" w:lineRule="auto"/>
        <w:ind w:firstLine="560" w:firstLineChars="200"/>
        <w:jc w:val="right"/>
        <w:rPr>
          <w:rFonts w:ascii="仿宋" w:hAnsi="仿宋" w:eastAsia="仿宋" w:cs="仿宋"/>
          <w:sz w:val="28"/>
          <w:szCs w:val="28"/>
          <w:highlight w:val="none"/>
        </w:rPr>
      </w:pPr>
    </w:p>
    <w:p>
      <w:pPr>
        <w:rPr>
          <w:highlight w:val="none"/>
        </w:rPr>
      </w:pPr>
    </w:p>
    <w:p>
      <w:pPr>
        <w:pStyle w:val="2"/>
        <w:bidi w:val="0"/>
        <w:rPr>
          <w:rFonts w:hint="eastAsia"/>
          <w:highlight w:val="none"/>
        </w:rPr>
      </w:pPr>
      <w:r>
        <w:rPr>
          <w:rFonts w:hint="eastAsia"/>
          <w:highlight w:val="none"/>
          <w:lang w:eastAsia="zh-CN"/>
        </w:rPr>
        <w:t>贵州商学院</w:t>
      </w:r>
      <w:r>
        <w:rPr>
          <w:rFonts w:hint="eastAsia"/>
          <w:highlight w:val="none"/>
        </w:rPr>
        <w:t>计算机与信息工程学院</w:t>
      </w:r>
    </w:p>
    <w:p>
      <w:pPr>
        <w:pStyle w:val="2"/>
        <w:bidi w:val="0"/>
        <w:rPr>
          <w:rFonts w:hint="eastAsia"/>
          <w:highlight w:val="none"/>
        </w:rPr>
      </w:pPr>
      <w:r>
        <w:rPr>
          <w:rFonts w:hint="eastAsia"/>
          <w:highlight w:val="none"/>
          <w:lang w:val="en-US" w:eastAsia="zh-CN"/>
        </w:rPr>
        <w:t>2020</w:t>
      </w:r>
      <w:r>
        <w:rPr>
          <w:rFonts w:hint="eastAsia"/>
          <w:highlight w:val="none"/>
          <w:lang w:eastAsia="zh-CN"/>
        </w:rPr>
        <w:t>—</w:t>
      </w:r>
      <w:r>
        <w:rPr>
          <w:rFonts w:hint="eastAsia"/>
          <w:highlight w:val="none"/>
          <w:lang w:val="en-US" w:eastAsia="zh-CN"/>
        </w:rPr>
        <w:t>2021</w:t>
      </w:r>
      <w:r>
        <w:rPr>
          <w:rFonts w:hint="eastAsia"/>
          <w:highlight w:val="none"/>
        </w:rPr>
        <w:t>学年第</w:t>
      </w:r>
      <w:r>
        <w:rPr>
          <w:rFonts w:hint="eastAsia"/>
          <w:highlight w:val="none"/>
          <w:lang w:val="en-US" w:eastAsia="zh-CN"/>
        </w:rPr>
        <w:t>1</w:t>
      </w:r>
      <w:r>
        <w:rPr>
          <w:rFonts w:hint="eastAsia"/>
          <w:highlight w:val="none"/>
        </w:rPr>
        <w:t>学期学生转专业考核办法</w:t>
      </w:r>
    </w:p>
    <w:p>
      <w:pPr>
        <w:tabs>
          <w:tab w:val="left" w:pos="1260"/>
        </w:tabs>
        <w:spacing w:line="300" w:lineRule="auto"/>
        <w:ind w:firstLine="600" w:firstLineChars="200"/>
        <w:rPr>
          <w:rFonts w:hint="eastAsia" w:ascii="仿宋" w:hAnsi="仿宋" w:eastAsia="仿宋" w:cs="仿宋"/>
          <w:color w:val="000000"/>
          <w:sz w:val="30"/>
          <w:szCs w:val="30"/>
        </w:rPr>
      </w:pPr>
      <w:r>
        <w:rPr>
          <w:rFonts w:hint="eastAsia" w:ascii="仿宋" w:hAnsi="仿宋" w:eastAsia="仿宋" w:cs="仿宋"/>
          <w:sz w:val="30"/>
          <w:szCs w:val="30"/>
        </w:rPr>
        <w:t>根据《贵州商学院学生转专业管理细则（修订）》的文件精神2020级学生可申请校内转专业，2019级学生可申请院内转专业。结合计算机与信息工程学院各专业实际情况，现制定</w:t>
      </w:r>
      <w:bookmarkStart w:id="0" w:name="_Hlk5622447"/>
      <w:r>
        <w:rPr>
          <w:rFonts w:hint="eastAsia" w:ascii="仿宋" w:hAnsi="仿宋" w:eastAsia="仿宋" w:cs="仿宋"/>
          <w:sz w:val="30"/>
          <w:szCs w:val="30"/>
        </w:rPr>
        <w:t>计算机与信息工程学院</w:t>
      </w:r>
      <w:bookmarkEnd w:id="0"/>
      <w:r>
        <w:rPr>
          <w:rFonts w:hint="eastAsia" w:ascii="仿宋" w:hAnsi="仿宋" w:eastAsia="仿宋" w:cs="仿宋"/>
          <w:sz w:val="30"/>
          <w:szCs w:val="30"/>
        </w:rPr>
        <w:t>20211学期2020级、2019级学生转专业考核办法。</w:t>
      </w:r>
    </w:p>
    <w:p>
      <w:pPr>
        <w:numPr>
          <w:ilvl w:val="0"/>
          <w:numId w:val="2"/>
        </w:numPr>
        <w:spacing w:line="30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计算机与信息工程学院转专业工作小组</w:t>
      </w:r>
    </w:p>
    <w:p>
      <w:p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组长：陈列  穆肇南  </w:t>
      </w:r>
    </w:p>
    <w:p>
      <w:p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成员：韩琰 张翔 杜少波 杨磊 张俊 杨坤 徐红</w:t>
      </w:r>
    </w:p>
    <w:p>
      <w:pPr>
        <w:numPr>
          <w:ilvl w:val="0"/>
          <w:numId w:val="3"/>
        </w:numPr>
        <w:spacing w:line="30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接收专业、接收名额及条件</w:t>
      </w:r>
    </w:p>
    <w:p>
      <w:p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计算机与信息工程学院2020级可接收转专业的有：数据科学与大数据技术、电子商务、计算机科学与技术、物联网工程和网络工程。</w:t>
      </w:r>
    </w:p>
    <w:p>
      <w:pPr>
        <w:spacing w:line="300" w:lineRule="auto"/>
        <w:ind w:firstLine="600" w:firstLineChars="200"/>
        <w:rPr>
          <w:rFonts w:hint="eastAsia" w:ascii="仿宋" w:hAnsi="仿宋" w:eastAsia="仿宋" w:cs="仿宋"/>
          <w:sz w:val="30"/>
          <w:szCs w:val="30"/>
        </w:rPr>
      </w:pPr>
      <w:bookmarkStart w:id="1" w:name="_Hlk23598806"/>
      <w:r>
        <w:rPr>
          <w:rFonts w:hint="eastAsia" w:ascii="仿宋" w:hAnsi="仿宋" w:eastAsia="仿宋" w:cs="仿宋"/>
          <w:sz w:val="30"/>
          <w:szCs w:val="30"/>
        </w:rPr>
        <w:t>计算机与信息工程学院2019级可接收转专业的有：电子商务、物联网工程、计算机科学与技术和网络工程。</w:t>
      </w:r>
    </w:p>
    <w:bookmarkEnd w:id="1"/>
    <w:p>
      <w:pPr>
        <w:numPr>
          <w:ilvl w:val="0"/>
          <w:numId w:val="0"/>
        </w:numPr>
        <w:spacing w:line="300" w:lineRule="auto"/>
        <w:ind w:left="560" w:leftChars="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接收专业名额</w:t>
      </w:r>
    </w:p>
    <w:p>
      <w:p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根据专业特点，结合专业对教学资源的需求情况，确定各专业接收名额如下表：</w:t>
      </w:r>
    </w:p>
    <w:tbl>
      <w:tblPr>
        <w:tblStyle w:val="4"/>
        <w:tblW w:w="0" w:type="auto"/>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3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bookmarkStart w:id="2" w:name="_Hlk23598876"/>
            <w:r>
              <w:rPr>
                <w:rFonts w:hint="eastAsia" w:ascii="仿宋" w:hAnsi="仿宋" w:eastAsia="仿宋" w:cs="仿宋"/>
                <w:sz w:val="30"/>
                <w:szCs w:val="30"/>
              </w:rPr>
              <w:t>专业名称</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2020级数据科学与大数据技术</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2020级电子商务</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2020级物联网工程</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2020级计算机科学与技术</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2020级网络工程</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2019级电子商务</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2019级物联网工程</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2019级网络工程</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2019计算机科学与技术</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总计</w:t>
            </w:r>
          </w:p>
        </w:tc>
        <w:tc>
          <w:tcPr>
            <w:tcW w:w="3973"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=SUM(ABOVE) </w:instrText>
            </w:r>
            <w:r>
              <w:rPr>
                <w:rFonts w:hint="eastAsia" w:ascii="仿宋" w:hAnsi="仿宋" w:eastAsia="仿宋" w:cs="仿宋"/>
                <w:sz w:val="30"/>
                <w:szCs w:val="30"/>
              </w:rPr>
              <w:fldChar w:fldCharType="separate"/>
            </w:r>
            <w:r>
              <w:rPr>
                <w:rFonts w:hint="eastAsia" w:ascii="仿宋" w:hAnsi="仿宋" w:eastAsia="仿宋" w:cs="仿宋"/>
                <w:sz w:val="30"/>
                <w:szCs w:val="30"/>
              </w:rPr>
              <w:t>32</w:t>
            </w:r>
            <w:r>
              <w:rPr>
                <w:rFonts w:hint="eastAsia" w:ascii="仿宋" w:hAnsi="仿宋" w:eastAsia="仿宋" w:cs="仿宋"/>
                <w:sz w:val="30"/>
                <w:szCs w:val="30"/>
              </w:rPr>
              <w:fldChar w:fldCharType="end"/>
            </w:r>
          </w:p>
        </w:tc>
      </w:tr>
      <w:bookmarkEnd w:id="2"/>
    </w:tbl>
    <w:p>
      <w:pPr>
        <w:spacing w:line="300" w:lineRule="auto"/>
        <w:ind w:left="560"/>
        <w:rPr>
          <w:rFonts w:hint="eastAsia" w:ascii="仿宋" w:hAnsi="仿宋" w:eastAsia="仿宋" w:cs="仿宋"/>
          <w:sz w:val="30"/>
          <w:szCs w:val="30"/>
        </w:rPr>
      </w:pPr>
    </w:p>
    <w:p>
      <w:pPr>
        <w:numPr>
          <w:ilvl w:val="0"/>
          <w:numId w:val="0"/>
        </w:numPr>
        <w:spacing w:line="300" w:lineRule="auto"/>
        <w:ind w:left="560" w:leftChars="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接收条件：</w:t>
      </w:r>
    </w:p>
    <w:p>
      <w:pPr>
        <w:tabs>
          <w:tab w:val="left" w:pos="1260"/>
        </w:tabs>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计算机与信息工程学院各专业接收的转专业学生除符合学校规定的转专业条件外，还有以下要求：</w:t>
      </w:r>
    </w:p>
    <w:p>
      <w:pPr>
        <w:numPr>
          <w:ilvl w:val="0"/>
          <w:numId w:val="4"/>
        </w:numPr>
        <w:tabs>
          <w:tab w:val="left" w:pos="1260"/>
        </w:tabs>
        <w:spacing w:line="300" w:lineRule="auto"/>
        <w:rPr>
          <w:rFonts w:hint="eastAsia" w:ascii="仿宋" w:hAnsi="仿宋" w:eastAsia="仿宋" w:cs="仿宋"/>
          <w:b w:val="0"/>
          <w:bCs w:val="0"/>
          <w:sz w:val="30"/>
          <w:szCs w:val="30"/>
        </w:rPr>
      </w:pPr>
      <w:r>
        <w:rPr>
          <w:rFonts w:hint="eastAsia" w:ascii="仿宋" w:hAnsi="仿宋" w:eastAsia="仿宋" w:cs="仿宋"/>
          <w:sz w:val="30"/>
          <w:szCs w:val="30"/>
        </w:rPr>
        <w:t>数据科学与大数据技术、物联网工程、计算机科学与技术和网络工程专业要求学生高考时是理科毕业生；电子</w:t>
      </w:r>
      <w:r>
        <w:rPr>
          <w:rFonts w:hint="eastAsia" w:ascii="仿宋" w:hAnsi="仿宋" w:eastAsia="仿宋" w:cs="仿宋"/>
          <w:b w:val="0"/>
          <w:bCs w:val="0"/>
          <w:sz w:val="30"/>
          <w:szCs w:val="30"/>
        </w:rPr>
        <w:t>商务专业不限。</w:t>
      </w:r>
    </w:p>
    <w:p>
      <w:pPr>
        <w:numPr>
          <w:ilvl w:val="0"/>
          <w:numId w:val="4"/>
        </w:numPr>
        <w:tabs>
          <w:tab w:val="left" w:pos="1260"/>
        </w:tabs>
        <w:spacing w:line="300" w:lineRule="auto"/>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2019级学生在校期间期末考试成绩还需满足以下条件：期末考试无补考，请提供成绩卡证明（盖章）。</w:t>
      </w:r>
    </w:p>
    <w:p>
      <w:pPr>
        <w:numPr>
          <w:ilvl w:val="0"/>
          <w:numId w:val="4"/>
        </w:numPr>
        <w:tabs>
          <w:tab w:val="left" w:pos="1260"/>
        </w:tabs>
        <w:spacing w:line="300" w:lineRule="auto"/>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满足以上条件后，方可具备面试资格。最后根据面试成绩从高到低录取。</w:t>
      </w:r>
    </w:p>
    <w:p>
      <w:pPr>
        <w:numPr>
          <w:ilvl w:val="0"/>
          <w:numId w:val="0"/>
        </w:numPr>
        <w:tabs>
          <w:tab w:val="left" w:pos="1260"/>
        </w:tabs>
        <w:spacing w:line="300" w:lineRule="auto"/>
        <w:ind w:left="560" w:leftChars="0"/>
        <w:rPr>
          <w:rFonts w:hint="eastAsia" w:ascii="仿宋" w:hAnsi="仿宋" w:eastAsia="仿宋" w:cs="仿宋"/>
          <w:b/>
          <w:bCs/>
          <w:color w:val="FF0000"/>
          <w:sz w:val="30"/>
          <w:szCs w:val="30"/>
        </w:rPr>
      </w:pPr>
    </w:p>
    <w:p>
      <w:pPr>
        <w:numPr>
          <w:ilvl w:val="0"/>
          <w:numId w:val="3"/>
        </w:numPr>
        <w:spacing w:line="30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 xml:space="preserve"> 转出专业、转出名额及条件</w:t>
      </w:r>
    </w:p>
    <w:p>
      <w:pPr>
        <w:tabs>
          <w:tab w:val="left" w:pos="1260"/>
        </w:tabs>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计算机与信息工程学院2019级、2020级可转出的专业有：数据科学与大数据技术、电子商务、物联网工程、计算机科学与技术和网络工程。</w:t>
      </w:r>
    </w:p>
    <w:p>
      <w:pPr>
        <w:numPr>
          <w:ilvl w:val="0"/>
          <w:numId w:val="0"/>
        </w:numPr>
        <w:spacing w:line="300" w:lineRule="auto"/>
        <w:ind w:left="560" w:leftChars="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转出专业名额</w:t>
      </w:r>
    </w:p>
    <w:p>
      <w:pPr>
        <w:tabs>
          <w:tab w:val="left" w:pos="1260"/>
        </w:tabs>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计算机与信息工程学院可转出专业每班限同意批准转出3名同学，其中2020数据科学与大数据技术专业现有1个班，2019网络工程专业现有1个班，其余专业现各有2个班。</w:t>
      </w:r>
    </w:p>
    <w:tbl>
      <w:tblPr>
        <w:tblStyle w:val="4"/>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184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专业名称</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每班可转出名额</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专业可转出总名额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2020级计算机科学与技术</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2020级数据科学与大数据技术</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2020级电子商务</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2020级物联网工程</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2020级网络工程</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2019级数据科学与大数据技术</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2019级电子商务</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2019级物联网工程</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2019级网络工程</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2019计算机科学与技术</w:t>
            </w:r>
          </w:p>
        </w:tc>
        <w:tc>
          <w:tcPr>
            <w:tcW w:w="1843"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3</w:t>
            </w: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noWrap w:val="0"/>
            <w:vAlign w:val="top"/>
          </w:tcPr>
          <w:p>
            <w:pPr>
              <w:spacing w:line="300" w:lineRule="auto"/>
              <w:rPr>
                <w:rFonts w:hint="eastAsia" w:ascii="仿宋" w:hAnsi="仿宋" w:eastAsia="仿宋" w:cs="仿宋"/>
                <w:sz w:val="30"/>
                <w:szCs w:val="30"/>
              </w:rPr>
            </w:pPr>
            <w:r>
              <w:rPr>
                <w:rFonts w:hint="eastAsia" w:ascii="仿宋" w:hAnsi="仿宋" w:eastAsia="仿宋" w:cs="仿宋"/>
                <w:sz w:val="30"/>
                <w:szCs w:val="30"/>
              </w:rPr>
              <w:t>总计</w:t>
            </w:r>
          </w:p>
        </w:tc>
        <w:tc>
          <w:tcPr>
            <w:tcW w:w="1843" w:type="dxa"/>
            <w:noWrap w:val="0"/>
            <w:vAlign w:val="top"/>
          </w:tcPr>
          <w:p>
            <w:pPr>
              <w:spacing w:line="300" w:lineRule="auto"/>
              <w:jc w:val="center"/>
              <w:rPr>
                <w:rFonts w:hint="eastAsia" w:ascii="仿宋" w:hAnsi="仿宋" w:eastAsia="仿宋" w:cs="仿宋"/>
                <w:sz w:val="30"/>
                <w:szCs w:val="30"/>
              </w:rPr>
            </w:pPr>
          </w:p>
        </w:tc>
        <w:tc>
          <w:tcPr>
            <w:tcW w:w="2410" w:type="dxa"/>
            <w:noWrap w:val="0"/>
            <w:vAlign w:val="top"/>
          </w:tcPr>
          <w:p>
            <w:pPr>
              <w:spacing w:line="300" w:lineRule="auto"/>
              <w:jc w:val="center"/>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=SUM(ABOVE) </w:instrText>
            </w:r>
            <w:r>
              <w:rPr>
                <w:rFonts w:hint="eastAsia" w:ascii="仿宋" w:hAnsi="仿宋" w:eastAsia="仿宋" w:cs="仿宋"/>
                <w:sz w:val="30"/>
                <w:szCs w:val="30"/>
              </w:rPr>
              <w:fldChar w:fldCharType="separate"/>
            </w:r>
            <w:r>
              <w:rPr>
                <w:rFonts w:hint="eastAsia" w:ascii="仿宋" w:hAnsi="仿宋" w:eastAsia="仿宋" w:cs="仿宋"/>
                <w:sz w:val="30"/>
                <w:szCs w:val="30"/>
              </w:rPr>
              <w:t>54</w:t>
            </w:r>
            <w:r>
              <w:rPr>
                <w:rFonts w:hint="eastAsia" w:ascii="仿宋" w:hAnsi="仿宋" w:eastAsia="仿宋" w:cs="仿宋"/>
                <w:sz w:val="30"/>
                <w:szCs w:val="30"/>
              </w:rPr>
              <w:fldChar w:fldCharType="end"/>
            </w:r>
          </w:p>
        </w:tc>
      </w:tr>
    </w:tbl>
    <w:p>
      <w:pPr>
        <w:tabs>
          <w:tab w:val="left" w:pos="1260"/>
        </w:tabs>
        <w:spacing w:line="300" w:lineRule="auto"/>
        <w:ind w:firstLine="600" w:firstLineChars="200"/>
        <w:rPr>
          <w:rFonts w:hint="eastAsia" w:ascii="仿宋" w:hAnsi="仿宋" w:eastAsia="仿宋" w:cs="仿宋"/>
          <w:sz w:val="30"/>
          <w:szCs w:val="30"/>
        </w:rPr>
      </w:pPr>
    </w:p>
    <w:p>
      <w:pPr>
        <w:numPr>
          <w:ilvl w:val="0"/>
          <w:numId w:val="0"/>
        </w:numPr>
        <w:spacing w:line="300" w:lineRule="auto"/>
        <w:ind w:left="560" w:leftChars="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转出条件：</w:t>
      </w:r>
    </w:p>
    <w:p>
      <w:p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具有申请转专业资格的情况下，若申请转出专业名额超过班级可转出名额，2019级各班根据学生前两个学期各科平均成绩班级排名由高到低选择批准；2020级各班根据学生高考总分在班级排名由高到低选择批准，若有总分相同情况，则按语文分数由高到低选择批准，若还有相同，则依次按数学、英语、物理、化学的分数由高到低选择批准。</w:t>
      </w:r>
    </w:p>
    <w:p>
      <w:pPr>
        <w:spacing w:line="300" w:lineRule="auto"/>
        <w:ind w:left="562"/>
        <w:rPr>
          <w:rFonts w:hint="eastAsia" w:ascii="仿宋" w:hAnsi="仿宋" w:eastAsia="仿宋" w:cs="仿宋"/>
          <w:b/>
          <w:sz w:val="30"/>
          <w:szCs w:val="30"/>
        </w:rPr>
      </w:pPr>
    </w:p>
    <w:p>
      <w:pPr>
        <w:numPr>
          <w:ilvl w:val="0"/>
          <w:numId w:val="3"/>
        </w:numPr>
        <w:spacing w:line="30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考核地点及时间安排</w:t>
      </w:r>
    </w:p>
    <w:p>
      <w:p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时间： 初定于12月</w:t>
      </w:r>
      <w:r>
        <w:rPr>
          <w:rFonts w:hint="eastAsia" w:ascii="仿宋" w:hAnsi="仿宋" w:eastAsia="仿宋" w:cs="仿宋"/>
          <w:sz w:val="30"/>
          <w:szCs w:val="30"/>
          <w:lang w:val="en-US" w:eastAsia="zh-CN"/>
        </w:rPr>
        <w:t>9</w:t>
      </w:r>
      <w:r>
        <w:rPr>
          <w:rFonts w:hint="eastAsia" w:ascii="仿宋" w:hAnsi="仿宋" w:eastAsia="仿宋" w:cs="仿宋"/>
          <w:sz w:val="30"/>
          <w:szCs w:val="30"/>
        </w:rPr>
        <w:t>日-12月</w:t>
      </w:r>
      <w:r>
        <w:rPr>
          <w:rFonts w:hint="eastAsia" w:ascii="仿宋" w:hAnsi="仿宋" w:eastAsia="仿宋" w:cs="仿宋"/>
          <w:sz w:val="30"/>
          <w:szCs w:val="30"/>
          <w:lang w:val="en-US" w:eastAsia="zh-CN"/>
        </w:rPr>
        <w:t>18</w:t>
      </w:r>
      <w:r>
        <w:rPr>
          <w:rFonts w:hint="eastAsia" w:ascii="仿宋" w:hAnsi="仿宋" w:eastAsia="仿宋" w:cs="仿宋"/>
          <w:sz w:val="30"/>
          <w:szCs w:val="30"/>
        </w:rPr>
        <w:t>日期间，具体时间另行通知</w:t>
      </w:r>
    </w:p>
    <w:p>
      <w:p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地点： 另行通知</w:t>
      </w:r>
    </w:p>
    <w:p>
      <w:p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具体考核地点和时间还要根据符合面试条件的人数来确定，确定后再电话通知。</w:t>
      </w:r>
    </w:p>
    <w:p>
      <w:pPr>
        <w:spacing w:line="300" w:lineRule="auto"/>
        <w:ind w:firstLine="600" w:firstLineChars="200"/>
        <w:rPr>
          <w:rFonts w:hint="eastAsia" w:ascii="仿宋" w:hAnsi="仿宋" w:eastAsia="仿宋" w:cs="仿宋"/>
          <w:sz w:val="30"/>
          <w:szCs w:val="30"/>
        </w:rPr>
      </w:pPr>
    </w:p>
    <w:p>
      <w:pPr>
        <w:numPr>
          <w:ilvl w:val="0"/>
          <w:numId w:val="3"/>
        </w:numPr>
        <w:spacing w:line="30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考核办法</w:t>
      </w:r>
    </w:p>
    <w:p>
      <w:pPr>
        <w:numPr>
          <w:ilvl w:val="0"/>
          <w:numId w:val="0"/>
        </w:num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符合接收条件的学生参加面试。各专业组织面试评委小组（成员主要由转专业工作小组成员组成）。面试成绩由评委按照评分标准进行打分（详见附件一《“XXXX专业”转专业面试评分表》）。</w:t>
      </w:r>
    </w:p>
    <w:p>
      <w:pPr>
        <w:numPr>
          <w:ilvl w:val="0"/>
          <w:numId w:val="0"/>
        </w:num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如果申请转入者过多，2019级各专业依据“数学+英语”两科总分优先原则，按可转入名额的300%确定进入面试学生总数，从高分到低分确定进入面试学生名单；2020级各专业依据高考总分优先原则，按可转入名额的300%确定进入面试学生总数，从高分到低分确定进入面试学生名单，若有高考总分相同情况，则按语文分数由高到低选择批准，若还有相同，则依次按数学、英语、物理、化学的分数由高到低选择批准进入面试。</w:t>
      </w:r>
    </w:p>
    <w:p>
      <w:pPr>
        <w:numPr>
          <w:ilvl w:val="0"/>
          <w:numId w:val="0"/>
        </w:num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转专业考核内容本着公正、科学、全面的原则，采取满足接收条件的基础上，通过面试的方式进行，面试小组负责考核材料的准备及组织工作，考核成绩采取量化形式。主要考核内容为：与拟转入专业相关的特长、获奖等证明材料；转专业动机、对拟转入专业的基本认识；语言表达能力；其他综合表现等。</w:t>
      </w:r>
    </w:p>
    <w:p>
      <w:pPr>
        <w:numPr>
          <w:ilvl w:val="0"/>
          <w:numId w:val="0"/>
        </w:num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各专业面试评委小组根据面试综合表现各自客观公正评分，并在评分表上签字。转专业学生最终面试成绩为各评委面试评分的平均分。最终面试成绩60分以下的不予接收。</w:t>
      </w:r>
    </w:p>
    <w:p>
      <w:pPr>
        <w:numPr>
          <w:ilvl w:val="0"/>
          <w:numId w:val="0"/>
        </w:num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对满足接收条件的转专业学生，根据面试成绩由高分至低分录取至该专业拟接收名额。</w:t>
      </w:r>
    </w:p>
    <w:p>
      <w:pPr>
        <w:numPr>
          <w:ilvl w:val="0"/>
          <w:numId w:val="0"/>
        </w:num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将最终拟录取名单（详见附件三《“XXXX专业”转专业拟录取学生名单》）由各专业面试评委小组成员集体签字后，经二级学院党政联席会议讨论后，形成党政联席会会议纪要，并提交</w:t>
      </w:r>
      <w:r>
        <w:rPr>
          <w:rFonts w:hint="eastAsia" w:ascii="仿宋" w:hAnsi="仿宋" w:eastAsia="仿宋" w:cs="仿宋"/>
          <w:sz w:val="30"/>
          <w:szCs w:val="30"/>
          <w:lang w:eastAsia="zh-CN"/>
        </w:rPr>
        <w:t>教务处</w:t>
      </w:r>
      <w:r>
        <w:rPr>
          <w:rFonts w:hint="eastAsia" w:ascii="仿宋" w:hAnsi="仿宋" w:eastAsia="仿宋" w:cs="仿宋"/>
          <w:sz w:val="30"/>
          <w:szCs w:val="30"/>
        </w:rPr>
        <w:t>予以公示。总成绩相同并超出录取名额时，由面试评委小组成员根据综合表现投票决定最后一名录取人选。</w:t>
      </w:r>
    </w:p>
    <w:p>
      <w:pPr>
        <w:numPr>
          <w:ilvl w:val="0"/>
          <w:numId w:val="0"/>
        </w:numPr>
        <w:spacing w:line="30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转专业考核结束后，所有考核材料汇总整理并归档</w:t>
      </w:r>
    </w:p>
    <w:p>
      <w:pPr>
        <w:numPr>
          <w:ilvl w:val="0"/>
          <w:numId w:val="0"/>
        </w:numPr>
        <w:spacing w:line="300" w:lineRule="auto"/>
        <w:ind w:firstLine="560" w:firstLineChars="200"/>
        <w:rPr>
          <w:rFonts w:ascii="宋体" w:hAnsi="宋体" w:cs="宋体"/>
          <w:sz w:val="28"/>
          <w:szCs w:val="28"/>
        </w:rPr>
      </w:pPr>
      <w:r>
        <w:rPr>
          <w:rFonts w:hint="eastAsia" w:ascii="宋体" w:hAnsi="宋体" w:cs="宋体"/>
          <w:sz w:val="28"/>
          <w:szCs w:val="28"/>
        </w:rPr>
        <w:t xml:space="preserve">         </w:t>
      </w:r>
    </w:p>
    <w:p>
      <w:pPr>
        <w:spacing w:line="300" w:lineRule="auto"/>
        <w:ind w:firstLine="560" w:firstLineChars="200"/>
        <w:jc w:val="right"/>
        <w:rPr>
          <w:rFonts w:hint="eastAsia" w:ascii="仿宋" w:hAnsi="仿宋" w:eastAsia="仿宋" w:cs="仿宋"/>
          <w:sz w:val="30"/>
          <w:szCs w:val="30"/>
        </w:rPr>
      </w:pPr>
      <w:r>
        <w:rPr>
          <w:rFonts w:hint="eastAsia" w:ascii="宋体" w:hAnsi="宋体" w:cs="宋体"/>
          <w:sz w:val="28"/>
          <w:szCs w:val="28"/>
        </w:rPr>
        <w:t xml:space="preserve"> </w:t>
      </w:r>
      <w:r>
        <w:rPr>
          <w:rFonts w:hint="eastAsia" w:ascii="仿宋" w:hAnsi="仿宋" w:eastAsia="仿宋" w:cs="仿宋"/>
          <w:sz w:val="30"/>
          <w:szCs w:val="30"/>
        </w:rPr>
        <w:t>计算机与信息工程学院</w:t>
      </w:r>
    </w:p>
    <w:p>
      <w:pPr>
        <w:spacing w:line="300" w:lineRule="auto"/>
        <w:ind w:firstLine="600" w:firstLineChars="200"/>
        <w:jc w:val="right"/>
        <w:rPr>
          <w:rFonts w:hint="eastAsia" w:ascii="仿宋" w:hAnsi="仿宋" w:eastAsia="仿宋" w:cs="仿宋"/>
          <w:sz w:val="30"/>
          <w:szCs w:val="30"/>
        </w:rPr>
        <w:sectPr>
          <w:pgSz w:w="11906" w:h="16838"/>
          <w:pgMar w:top="1134" w:right="1797" w:bottom="1134" w:left="1797" w:header="851" w:footer="992" w:gutter="0"/>
          <w:cols w:space="720" w:num="1"/>
          <w:docGrid w:type="lines" w:linePitch="312" w:charSpace="0"/>
        </w:sectPr>
      </w:pPr>
      <w:r>
        <w:rPr>
          <w:rFonts w:hint="eastAsia" w:ascii="仿宋" w:hAnsi="仿宋" w:eastAsia="仿宋" w:cs="仿宋"/>
          <w:sz w:val="30"/>
          <w:szCs w:val="30"/>
        </w:rPr>
        <w:t>2020年11月20日</w:t>
      </w:r>
    </w:p>
    <w:p>
      <w:pPr>
        <w:spacing w:before="78" w:after="78"/>
        <w:rPr>
          <w:rFonts w:hint="eastAsia"/>
          <w:b/>
          <w:sz w:val="44"/>
          <w:szCs w:val="44"/>
        </w:rPr>
      </w:pPr>
      <w:r>
        <w:rPr>
          <w:rFonts w:hint="eastAsia"/>
          <w:sz w:val="24"/>
        </w:rPr>
        <w:t>附件1</w:t>
      </w:r>
    </w:p>
    <w:p>
      <w:pPr>
        <w:spacing w:before="78" w:after="78"/>
        <w:ind w:firstLine="663" w:firstLineChars="150"/>
        <w:rPr>
          <w:b/>
          <w:sz w:val="44"/>
          <w:szCs w:val="44"/>
        </w:rPr>
      </w:pPr>
      <w:r>
        <w:rPr>
          <w:rFonts w:hint="eastAsia"/>
          <w:b/>
          <w:sz w:val="44"/>
          <w:szCs w:val="44"/>
        </w:rPr>
        <w:t>“XXXX专业”转专业面试评分表</w:t>
      </w:r>
    </w:p>
    <w:tbl>
      <w:tblPr>
        <w:tblStyle w:val="4"/>
        <w:tblpPr w:leftFromText="180" w:rightFromText="180" w:vertAnchor="page" w:horzAnchor="margin" w:tblpY="28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730"/>
        <w:gridCol w:w="148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40" w:type="dxa"/>
            <w:noWrap w:val="0"/>
            <w:vAlign w:val="center"/>
          </w:tcPr>
          <w:p>
            <w:pPr>
              <w:spacing w:before="78" w:after="78"/>
              <w:jc w:val="center"/>
              <w:rPr>
                <w:b/>
                <w:sz w:val="28"/>
                <w:szCs w:val="28"/>
              </w:rPr>
            </w:pPr>
            <w:r>
              <w:rPr>
                <w:rFonts w:hint="eastAsia"/>
                <w:b/>
                <w:sz w:val="28"/>
                <w:szCs w:val="28"/>
              </w:rPr>
              <w:t>姓</w:t>
            </w:r>
            <w:r>
              <w:rPr>
                <w:b/>
                <w:sz w:val="28"/>
                <w:szCs w:val="28"/>
              </w:rPr>
              <w:t xml:space="preserve">  </w:t>
            </w:r>
            <w:r>
              <w:rPr>
                <w:rFonts w:hint="eastAsia"/>
                <w:b/>
                <w:sz w:val="28"/>
                <w:szCs w:val="28"/>
              </w:rPr>
              <w:t>名</w:t>
            </w:r>
          </w:p>
        </w:tc>
        <w:tc>
          <w:tcPr>
            <w:tcW w:w="2730" w:type="dxa"/>
            <w:noWrap w:val="0"/>
            <w:vAlign w:val="center"/>
          </w:tcPr>
          <w:p>
            <w:pPr>
              <w:spacing w:before="78" w:after="78"/>
              <w:jc w:val="center"/>
              <w:rPr>
                <w:b/>
                <w:sz w:val="28"/>
                <w:szCs w:val="28"/>
              </w:rPr>
            </w:pPr>
            <w:r>
              <w:rPr>
                <w:rFonts w:hint="eastAsia"/>
                <w:b/>
                <w:sz w:val="28"/>
                <w:szCs w:val="28"/>
              </w:rPr>
              <w:t>原专业</w:t>
            </w:r>
          </w:p>
        </w:tc>
        <w:tc>
          <w:tcPr>
            <w:tcW w:w="3560" w:type="dxa"/>
            <w:gridSpan w:val="2"/>
            <w:noWrap w:val="0"/>
            <w:vAlign w:val="center"/>
          </w:tcPr>
          <w:p>
            <w:pPr>
              <w:spacing w:before="78" w:after="78"/>
              <w:jc w:val="center"/>
              <w:rPr>
                <w:b/>
                <w:sz w:val="28"/>
                <w:szCs w:val="28"/>
              </w:rPr>
            </w:pPr>
            <w:r>
              <w:rPr>
                <w:rFonts w:hint="eastAsia"/>
                <w:b/>
                <w:sz w:val="28"/>
                <w:szCs w:val="28"/>
              </w:rPr>
              <w:t>拟转入专业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40" w:type="dxa"/>
            <w:noWrap w:val="0"/>
            <w:vAlign w:val="center"/>
          </w:tcPr>
          <w:p>
            <w:pPr>
              <w:spacing w:before="78" w:after="78"/>
              <w:jc w:val="center"/>
              <w:rPr>
                <w:sz w:val="28"/>
                <w:szCs w:val="28"/>
              </w:rPr>
            </w:pPr>
          </w:p>
        </w:tc>
        <w:tc>
          <w:tcPr>
            <w:tcW w:w="2730" w:type="dxa"/>
            <w:noWrap w:val="0"/>
            <w:vAlign w:val="center"/>
          </w:tcPr>
          <w:p>
            <w:pPr>
              <w:spacing w:before="78" w:after="78"/>
              <w:jc w:val="center"/>
              <w:rPr>
                <w:sz w:val="28"/>
                <w:szCs w:val="28"/>
              </w:rPr>
            </w:pPr>
          </w:p>
        </w:tc>
        <w:tc>
          <w:tcPr>
            <w:tcW w:w="3560" w:type="dxa"/>
            <w:gridSpan w:val="2"/>
            <w:noWrap w:val="0"/>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40" w:type="dxa"/>
            <w:noWrap w:val="0"/>
            <w:vAlign w:val="center"/>
          </w:tcPr>
          <w:p>
            <w:pPr>
              <w:spacing w:before="78" w:after="78"/>
              <w:jc w:val="center"/>
              <w:rPr>
                <w:b/>
                <w:sz w:val="28"/>
                <w:szCs w:val="28"/>
              </w:rPr>
            </w:pPr>
            <w:r>
              <w:rPr>
                <w:rFonts w:hint="eastAsia"/>
                <w:b/>
                <w:sz w:val="28"/>
                <w:szCs w:val="28"/>
              </w:rPr>
              <w:t>知识与能力</w:t>
            </w:r>
          </w:p>
        </w:tc>
        <w:tc>
          <w:tcPr>
            <w:tcW w:w="4215" w:type="dxa"/>
            <w:gridSpan w:val="2"/>
            <w:noWrap w:val="0"/>
            <w:vAlign w:val="center"/>
          </w:tcPr>
          <w:p>
            <w:pPr>
              <w:spacing w:before="78" w:after="78"/>
              <w:jc w:val="center"/>
              <w:rPr>
                <w:b/>
                <w:sz w:val="28"/>
                <w:szCs w:val="28"/>
              </w:rPr>
            </w:pPr>
            <w:r>
              <w:rPr>
                <w:rFonts w:hint="eastAsia"/>
                <w:b/>
                <w:sz w:val="28"/>
                <w:szCs w:val="28"/>
              </w:rPr>
              <w:t>考核点</w:t>
            </w:r>
          </w:p>
        </w:tc>
        <w:tc>
          <w:tcPr>
            <w:tcW w:w="2075" w:type="dxa"/>
            <w:noWrap w:val="0"/>
            <w:vAlign w:val="center"/>
          </w:tcPr>
          <w:p>
            <w:pPr>
              <w:spacing w:before="78" w:after="78"/>
              <w:jc w:val="center"/>
              <w:rPr>
                <w:b/>
                <w:sz w:val="28"/>
                <w:szCs w:val="28"/>
              </w:rPr>
            </w:pPr>
            <w:r>
              <w:rPr>
                <w:rFonts w:hint="eastAsia"/>
                <w:b/>
                <w:sz w:val="28"/>
                <w:szCs w:val="2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40" w:type="dxa"/>
            <w:noWrap w:val="0"/>
            <w:vAlign w:val="center"/>
          </w:tcPr>
          <w:p>
            <w:pPr>
              <w:spacing w:before="78" w:after="78"/>
              <w:jc w:val="center"/>
              <w:rPr>
                <w:b/>
                <w:sz w:val="28"/>
                <w:szCs w:val="28"/>
              </w:rPr>
            </w:pPr>
            <w:r>
              <w:rPr>
                <w:rFonts w:hint="eastAsia"/>
                <w:b/>
                <w:sz w:val="28"/>
                <w:szCs w:val="28"/>
              </w:rPr>
              <w:t>动机目标</w:t>
            </w:r>
          </w:p>
          <w:p>
            <w:pPr>
              <w:spacing w:before="78" w:after="78"/>
              <w:jc w:val="center"/>
              <w:rPr>
                <w:rFonts w:hint="eastAsia"/>
                <w:b/>
                <w:sz w:val="28"/>
                <w:szCs w:val="28"/>
              </w:rPr>
            </w:pPr>
            <w:r>
              <w:rPr>
                <w:rFonts w:hint="eastAsia"/>
                <w:b/>
                <w:sz w:val="28"/>
                <w:szCs w:val="28"/>
              </w:rPr>
              <w:t>（</w:t>
            </w:r>
            <w:r>
              <w:rPr>
                <w:b/>
                <w:sz w:val="28"/>
                <w:szCs w:val="28"/>
              </w:rPr>
              <w:t>25</w:t>
            </w:r>
            <w:r>
              <w:rPr>
                <w:rFonts w:hint="eastAsia"/>
                <w:b/>
                <w:sz w:val="28"/>
                <w:szCs w:val="28"/>
              </w:rPr>
              <w:t>分）</w:t>
            </w:r>
          </w:p>
        </w:tc>
        <w:tc>
          <w:tcPr>
            <w:tcW w:w="4215" w:type="dxa"/>
            <w:gridSpan w:val="2"/>
            <w:noWrap w:val="0"/>
            <w:vAlign w:val="center"/>
          </w:tcPr>
          <w:p>
            <w:pPr>
              <w:spacing w:before="78" w:after="78"/>
              <w:jc w:val="left"/>
              <w:rPr>
                <w:rFonts w:hint="eastAsia"/>
                <w:sz w:val="28"/>
                <w:szCs w:val="28"/>
              </w:rPr>
            </w:pPr>
            <w:r>
              <w:rPr>
                <w:rFonts w:hint="eastAsia"/>
                <w:sz w:val="28"/>
                <w:szCs w:val="28"/>
              </w:rPr>
              <w:t>申请转专业理由的合理性。对今后的学习是否有规划。</w:t>
            </w:r>
          </w:p>
        </w:tc>
        <w:tc>
          <w:tcPr>
            <w:tcW w:w="2075" w:type="dxa"/>
            <w:noWrap w:val="0"/>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040" w:type="dxa"/>
            <w:noWrap w:val="0"/>
            <w:vAlign w:val="center"/>
          </w:tcPr>
          <w:p>
            <w:pPr>
              <w:spacing w:before="78" w:after="78"/>
              <w:jc w:val="center"/>
              <w:rPr>
                <w:b/>
                <w:sz w:val="28"/>
                <w:szCs w:val="28"/>
              </w:rPr>
            </w:pPr>
            <w:r>
              <w:rPr>
                <w:rFonts w:hint="eastAsia"/>
                <w:b/>
                <w:sz w:val="28"/>
                <w:szCs w:val="28"/>
              </w:rPr>
              <w:t>专业认识</w:t>
            </w:r>
          </w:p>
          <w:p>
            <w:pPr>
              <w:spacing w:before="78" w:after="78"/>
              <w:jc w:val="center"/>
              <w:rPr>
                <w:rFonts w:hint="eastAsia"/>
                <w:b/>
                <w:sz w:val="28"/>
                <w:szCs w:val="28"/>
              </w:rPr>
            </w:pPr>
            <w:r>
              <w:rPr>
                <w:rFonts w:hint="eastAsia"/>
                <w:b/>
                <w:sz w:val="28"/>
                <w:szCs w:val="28"/>
              </w:rPr>
              <w:t>（</w:t>
            </w:r>
            <w:r>
              <w:rPr>
                <w:b/>
                <w:sz w:val="28"/>
                <w:szCs w:val="28"/>
              </w:rPr>
              <w:t>25</w:t>
            </w:r>
            <w:r>
              <w:rPr>
                <w:rFonts w:hint="eastAsia"/>
                <w:b/>
                <w:sz w:val="28"/>
                <w:szCs w:val="28"/>
              </w:rPr>
              <w:t>分）</w:t>
            </w:r>
          </w:p>
        </w:tc>
        <w:tc>
          <w:tcPr>
            <w:tcW w:w="4215" w:type="dxa"/>
            <w:gridSpan w:val="2"/>
            <w:noWrap w:val="0"/>
            <w:vAlign w:val="center"/>
          </w:tcPr>
          <w:p>
            <w:pPr>
              <w:spacing w:before="78" w:after="78"/>
              <w:jc w:val="left"/>
              <w:rPr>
                <w:rFonts w:hint="eastAsia"/>
                <w:sz w:val="28"/>
                <w:szCs w:val="28"/>
              </w:rPr>
            </w:pPr>
            <w:r>
              <w:rPr>
                <w:rFonts w:hint="eastAsia"/>
                <w:sz w:val="28"/>
                <w:szCs w:val="28"/>
              </w:rPr>
              <w:t>对申请转入专业的了解、基本认识程度和感兴趣程度。是否具有与专业相关的特长和获奖等。</w:t>
            </w:r>
          </w:p>
        </w:tc>
        <w:tc>
          <w:tcPr>
            <w:tcW w:w="2075" w:type="dxa"/>
            <w:noWrap w:val="0"/>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040" w:type="dxa"/>
            <w:noWrap w:val="0"/>
            <w:vAlign w:val="center"/>
          </w:tcPr>
          <w:p>
            <w:pPr>
              <w:spacing w:before="78" w:after="78"/>
              <w:jc w:val="center"/>
              <w:rPr>
                <w:b/>
                <w:sz w:val="28"/>
                <w:szCs w:val="28"/>
              </w:rPr>
            </w:pPr>
            <w:r>
              <w:rPr>
                <w:rFonts w:hint="eastAsia"/>
                <w:b/>
                <w:sz w:val="28"/>
                <w:szCs w:val="28"/>
              </w:rPr>
              <w:t>学业基础</w:t>
            </w:r>
          </w:p>
          <w:p>
            <w:pPr>
              <w:spacing w:before="78" w:after="78"/>
              <w:jc w:val="center"/>
              <w:rPr>
                <w:rFonts w:hint="eastAsia"/>
                <w:b/>
                <w:sz w:val="28"/>
                <w:szCs w:val="28"/>
              </w:rPr>
            </w:pPr>
            <w:r>
              <w:rPr>
                <w:rFonts w:hint="eastAsia"/>
                <w:b/>
                <w:sz w:val="28"/>
                <w:szCs w:val="28"/>
              </w:rPr>
              <w:t>（</w:t>
            </w:r>
            <w:r>
              <w:rPr>
                <w:b/>
                <w:sz w:val="28"/>
                <w:szCs w:val="28"/>
              </w:rPr>
              <w:t>25</w:t>
            </w:r>
            <w:r>
              <w:rPr>
                <w:rFonts w:hint="eastAsia"/>
                <w:b/>
                <w:sz w:val="28"/>
                <w:szCs w:val="28"/>
              </w:rPr>
              <w:t>分）</w:t>
            </w:r>
          </w:p>
        </w:tc>
        <w:tc>
          <w:tcPr>
            <w:tcW w:w="4215" w:type="dxa"/>
            <w:gridSpan w:val="2"/>
            <w:noWrap w:val="0"/>
            <w:vAlign w:val="center"/>
          </w:tcPr>
          <w:p>
            <w:pPr>
              <w:spacing w:before="78" w:after="78"/>
              <w:jc w:val="left"/>
              <w:rPr>
                <w:rFonts w:hint="eastAsia"/>
                <w:sz w:val="28"/>
                <w:szCs w:val="28"/>
              </w:rPr>
            </w:pPr>
            <w:r>
              <w:rPr>
                <w:rFonts w:hint="eastAsia"/>
                <w:sz w:val="28"/>
                <w:szCs w:val="28"/>
              </w:rPr>
              <w:t>学习能力、水平。原有的学习基础。</w:t>
            </w:r>
          </w:p>
        </w:tc>
        <w:tc>
          <w:tcPr>
            <w:tcW w:w="2075" w:type="dxa"/>
            <w:noWrap w:val="0"/>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2040" w:type="dxa"/>
            <w:noWrap w:val="0"/>
            <w:vAlign w:val="center"/>
          </w:tcPr>
          <w:p>
            <w:pPr>
              <w:spacing w:before="78" w:after="78"/>
              <w:jc w:val="center"/>
              <w:rPr>
                <w:b/>
                <w:sz w:val="28"/>
                <w:szCs w:val="28"/>
              </w:rPr>
            </w:pPr>
            <w:r>
              <w:rPr>
                <w:rFonts w:hint="eastAsia"/>
                <w:b/>
                <w:sz w:val="28"/>
                <w:szCs w:val="28"/>
              </w:rPr>
              <w:t>综合能力</w:t>
            </w:r>
          </w:p>
          <w:p>
            <w:pPr>
              <w:spacing w:before="78" w:after="78"/>
              <w:jc w:val="center"/>
              <w:rPr>
                <w:b/>
                <w:sz w:val="28"/>
                <w:szCs w:val="28"/>
              </w:rPr>
            </w:pPr>
            <w:r>
              <w:rPr>
                <w:rFonts w:hint="eastAsia"/>
                <w:b/>
                <w:sz w:val="28"/>
                <w:szCs w:val="28"/>
              </w:rPr>
              <w:t>（</w:t>
            </w:r>
            <w:r>
              <w:rPr>
                <w:b/>
                <w:sz w:val="28"/>
                <w:szCs w:val="28"/>
              </w:rPr>
              <w:t>25</w:t>
            </w:r>
            <w:r>
              <w:rPr>
                <w:rFonts w:hint="eastAsia"/>
                <w:b/>
                <w:sz w:val="28"/>
                <w:szCs w:val="28"/>
              </w:rPr>
              <w:t>分）</w:t>
            </w:r>
          </w:p>
        </w:tc>
        <w:tc>
          <w:tcPr>
            <w:tcW w:w="4215" w:type="dxa"/>
            <w:gridSpan w:val="2"/>
            <w:noWrap w:val="0"/>
            <w:vAlign w:val="center"/>
          </w:tcPr>
          <w:p>
            <w:pPr>
              <w:spacing w:before="78" w:after="78"/>
              <w:jc w:val="left"/>
              <w:rPr>
                <w:rFonts w:hint="eastAsia"/>
                <w:sz w:val="28"/>
                <w:szCs w:val="28"/>
              </w:rPr>
            </w:pPr>
            <w:r>
              <w:rPr>
                <w:rFonts w:hint="eastAsia"/>
                <w:sz w:val="28"/>
                <w:szCs w:val="28"/>
              </w:rPr>
              <w:t>举止是否得体，表达是否恰当、流畅，逻辑思维是否清晰以及沟通能力、反应能力等。</w:t>
            </w:r>
          </w:p>
        </w:tc>
        <w:tc>
          <w:tcPr>
            <w:tcW w:w="2075" w:type="dxa"/>
            <w:noWrap w:val="0"/>
            <w:vAlign w:val="center"/>
          </w:tcPr>
          <w:p>
            <w:pPr>
              <w:spacing w:before="78" w:after="78"/>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40" w:type="dxa"/>
            <w:noWrap w:val="0"/>
            <w:vAlign w:val="center"/>
          </w:tcPr>
          <w:p>
            <w:pPr>
              <w:spacing w:before="78" w:after="78"/>
              <w:jc w:val="center"/>
              <w:rPr>
                <w:b/>
                <w:sz w:val="28"/>
                <w:szCs w:val="28"/>
              </w:rPr>
            </w:pPr>
            <w:r>
              <w:rPr>
                <w:rFonts w:hint="eastAsia"/>
                <w:b/>
                <w:sz w:val="28"/>
                <w:szCs w:val="28"/>
              </w:rPr>
              <w:t>合计（</w:t>
            </w:r>
            <w:r>
              <w:rPr>
                <w:b/>
                <w:sz w:val="28"/>
                <w:szCs w:val="28"/>
              </w:rPr>
              <w:t>100</w:t>
            </w:r>
            <w:r>
              <w:rPr>
                <w:rFonts w:hint="eastAsia"/>
                <w:b/>
                <w:sz w:val="28"/>
                <w:szCs w:val="28"/>
              </w:rPr>
              <w:t>分）</w:t>
            </w:r>
          </w:p>
        </w:tc>
        <w:tc>
          <w:tcPr>
            <w:tcW w:w="6290" w:type="dxa"/>
            <w:gridSpan w:val="3"/>
            <w:noWrap w:val="0"/>
            <w:vAlign w:val="center"/>
          </w:tcPr>
          <w:p>
            <w:pPr>
              <w:spacing w:before="78" w:after="78"/>
              <w:jc w:val="center"/>
              <w:rPr>
                <w:sz w:val="28"/>
                <w:szCs w:val="28"/>
              </w:rPr>
            </w:pPr>
          </w:p>
        </w:tc>
      </w:tr>
    </w:tbl>
    <w:p>
      <w:pPr>
        <w:spacing w:before="78" w:after="78"/>
        <w:ind w:right="640"/>
        <w:jc w:val="center"/>
        <w:rPr>
          <w:b/>
          <w:sz w:val="32"/>
          <w:szCs w:val="32"/>
        </w:rPr>
      </w:pPr>
      <w:r>
        <w:rPr>
          <w:rFonts w:hint="eastAsia"/>
          <w:b/>
          <w:sz w:val="32"/>
          <w:szCs w:val="32"/>
        </w:rPr>
        <w:t xml:space="preserve">                评委签字：</w:t>
      </w:r>
      <w:r>
        <w:rPr>
          <w:b/>
          <w:sz w:val="32"/>
          <w:szCs w:val="32"/>
        </w:rPr>
        <w:t xml:space="preserve">     </w:t>
      </w:r>
    </w:p>
    <w:p>
      <w:pPr>
        <w:spacing w:before="78" w:after="78"/>
        <w:ind w:right="319"/>
        <w:jc w:val="right"/>
        <w:rPr>
          <w:rFonts w:hint="eastAsia" w:ascii="宋体" w:hAnsi="宋体"/>
          <w:sz w:val="28"/>
          <w:szCs w:val="28"/>
        </w:rPr>
        <w:sectPr>
          <w:pgSz w:w="11906" w:h="16838"/>
          <w:pgMar w:top="1134" w:right="1797" w:bottom="1134" w:left="1797" w:header="851" w:footer="992" w:gutter="0"/>
          <w:cols w:space="720" w:num="1"/>
          <w:docGrid w:type="lines" w:linePitch="312" w:charSpace="0"/>
        </w:sectPr>
      </w:pPr>
      <w:r>
        <w:rPr>
          <w:rFonts w:hint="eastAsia"/>
          <w:b/>
          <w:sz w:val="32"/>
          <w:szCs w:val="32"/>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月    日</w:t>
      </w:r>
    </w:p>
    <w:p>
      <w:pPr>
        <w:spacing w:line="360" w:lineRule="auto"/>
        <w:rPr>
          <w:rFonts w:hint="eastAsia"/>
          <w:b/>
          <w:sz w:val="36"/>
          <w:szCs w:val="36"/>
        </w:rPr>
      </w:pPr>
      <w:r>
        <w:rPr>
          <w:rFonts w:hint="eastAsia"/>
        </w:rPr>
        <w:t>附件2</w:t>
      </w:r>
      <w:r>
        <w:rPr>
          <w:rFonts w:hint="eastAsia"/>
          <w:b/>
          <w:sz w:val="36"/>
          <w:szCs w:val="36"/>
        </w:rPr>
        <w:t xml:space="preserve"> </w:t>
      </w:r>
    </w:p>
    <w:p>
      <w:pPr>
        <w:spacing w:line="360" w:lineRule="auto"/>
        <w:jc w:val="center"/>
        <w:rPr>
          <w:rFonts w:hint="eastAsia"/>
          <w:sz w:val="32"/>
          <w:szCs w:val="32"/>
        </w:rPr>
      </w:pPr>
      <w:r>
        <w:rPr>
          <w:rFonts w:hint="eastAsia"/>
          <w:b/>
          <w:sz w:val="32"/>
          <w:szCs w:val="32"/>
        </w:rPr>
        <w:t>“XXXX专业”转专业考核成绩汇总表</w:t>
      </w:r>
    </w:p>
    <w:tbl>
      <w:tblPr>
        <w:tblStyle w:val="4"/>
        <w:tblW w:w="8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571"/>
        <w:gridCol w:w="992"/>
        <w:gridCol w:w="2835"/>
        <w:gridCol w:w="113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22" w:type="dxa"/>
            <w:noWrap w:val="0"/>
            <w:vAlign w:val="center"/>
          </w:tcPr>
          <w:p>
            <w:pPr>
              <w:jc w:val="center"/>
              <w:rPr>
                <w:rFonts w:hint="eastAsia"/>
              </w:rPr>
            </w:pPr>
            <w:r>
              <w:rPr>
                <w:rFonts w:hint="eastAsia"/>
              </w:rPr>
              <w:t>序号</w:t>
            </w:r>
          </w:p>
        </w:tc>
        <w:tc>
          <w:tcPr>
            <w:tcW w:w="1571" w:type="dxa"/>
            <w:noWrap w:val="0"/>
            <w:vAlign w:val="center"/>
          </w:tcPr>
          <w:p>
            <w:pPr>
              <w:jc w:val="center"/>
              <w:rPr>
                <w:rFonts w:hint="eastAsia"/>
              </w:rPr>
            </w:pPr>
            <w:r>
              <w:rPr>
                <w:rFonts w:hint="eastAsia"/>
              </w:rPr>
              <w:t>学号</w:t>
            </w:r>
          </w:p>
        </w:tc>
        <w:tc>
          <w:tcPr>
            <w:tcW w:w="992" w:type="dxa"/>
            <w:noWrap w:val="0"/>
            <w:vAlign w:val="center"/>
          </w:tcPr>
          <w:p>
            <w:pPr>
              <w:jc w:val="center"/>
              <w:rPr>
                <w:rFonts w:hint="eastAsia"/>
              </w:rPr>
            </w:pPr>
            <w:r>
              <w:rPr>
                <w:rFonts w:hint="eastAsia"/>
              </w:rPr>
              <w:t>姓名</w:t>
            </w:r>
          </w:p>
        </w:tc>
        <w:tc>
          <w:tcPr>
            <w:tcW w:w="2835" w:type="dxa"/>
            <w:noWrap w:val="0"/>
            <w:vAlign w:val="center"/>
          </w:tcPr>
          <w:p>
            <w:pPr>
              <w:jc w:val="center"/>
              <w:rPr>
                <w:rFonts w:hint="eastAsia"/>
              </w:rPr>
            </w:pPr>
            <w:r>
              <w:rPr>
                <w:rFonts w:hint="eastAsia"/>
              </w:rPr>
              <w:t>原专业</w:t>
            </w:r>
          </w:p>
        </w:tc>
        <w:tc>
          <w:tcPr>
            <w:tcW w:w="1134" w:type="dxa"/>
            <w:noWrap w:val="0"/>
            <w:vAlign w:val="center"/>
          </w:tcPr>
          <w:p>
            <w:pPr>
              <w:jc w:val="center"/>
              <w:rPr>
                <w:rFonts w:hint="eastAsia"/>
              </w:rPr>
            </w:pPr>
            <w:r>
              <w:rPr>
                <w:rFonts w:hint="eastAsia"/>
              </w:rPr>
              <w:t>面试成绩</w:t>
            </w:r>
          </w:p>
          <w:p>
            <w:pPr>
              <w:jc w:val="center"/>
              <w:rPr>
                <w:rFonts w:hint="eastAsia"/>
              </w:rPr>
            </w:pPr>
            <w:r>
              <w:rPr>
                <w:rFonts w:hint="eastAsia"/>
              </w:rPr>
              <w:t>（</w:t>
            </w:r>
            <w:r>
              <w:t>10</w:t>
            </w:r>
            <w:r>
              <w:rPr>
                <w:rFonts w:hint="eastAsia"/>
              </w:rPr>
              <w:t>0%）</w:t>
            </w:r>
          </w:p>
        </w:tc>
        <w:tc>
          <w:tcPr>
            <w:tcW w:w="1288" w:type="dxa"/>
            <w:noWrap w:val="0"/>
            <w:vAlign w:val="center"/>
          </w:tcPr>
          <w:p>
            <w:pPr>
              <w:jc w:val="center"/>
              <w:rPr>
                <w:rFonts w:hint="eastAsia"/>
              </w:rPr>
            </w:pPr>
            <w:r>
              <w:rPr>
                <w:rFonts w:hint="eastAsia"/>
              </w:rPr>
              <w:t>总成绩</w:t>
            </w:r>
          </w:p>
          <w:p>
            <w:pPr>
              <w:jc w:val="center"/>
              <w:rPr>
                <w:rFonts w:hint="eastAsia"/>
              </w:rPr>
            </w:pPr>
            <w:r>
              <w:rPr>
                <w:rFonts w:hint="eastAsia"/>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w:t>
            </w:r>
          </w:p>
        </w:tc>
        <w:tc>
          <w:tcPr>
            <w:tcW w:w="1571" w:type="dxa"/>
            <w:noWrap w:val="0"/>
            <w:vAlign w:val="top"/>
          </w:tcPr>
          <w:p>
            <w:pPr>
              <w:widowControl/>
              <w:jc w:val="center"/>
              <w:rPr>
                <w:rFonts w:ascii="宋体" w:hAnsi="宋体" w:cs="宋体"/>
                <w:kern w:val="0"/>
                <w:szCs w:val="21"/>
              </w:rPr>
            </w:pPr>
          </w:p>
        </w:tc>
        <w:tc>
          <w:tcPr>
            <w:tcW w:w="992" w:type="dxa"/>
            <w:noWrap w:val="0"/>
            <w:vAlign w:val="center"/>
          </w:tcPr>
          <w:p>
            <w:pPr>
              <w:widowControl/>
              <w:jc w:val="center"/>
              <w:rPr>
                <w:rFonts w:ascii="宋体" w:hAnsi="宋体" w:cs="宋体"/>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2</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3</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4</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5</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6</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7</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8</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 w:val="18"/>
                <w:szCs w:val="18"/>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9</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10</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11</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12</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spacing w:line="240" w:lineRule="exact"/>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13</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14</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15</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16</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spacing w:line="240" w:lineRule="exact"/>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17</w:t>
            </w:r>
          </w:p>
        </w:tc>
        <w:tc>
          <w:tcPr>
            <w:tcW w:w="1571" w:type="dxa"/>
            <w:noWrap w:val="0"/>
            <w:vAlign w:val="top"/>
          </w:tcPr>
          <w:p>
            <w:pPr>
              <w:widowControl/>
              <w:jc w:val="center"/>
              <w:rPr>
                <w:rFonts w:ascii="宋体" w:hAnsi="宋体" w:cs="宋体"/>
                <w:color w:val="000000"/>
                <w:kern w:val="0"/>
                <w:szCs w:val="21"/>
              </w:rPr>
            </w:pPr>
          </w:p>
        </w:tc>
        <w:tc>
          <w:tcPr>
            <w:tcW w:w="992" w:type="dxa"/>
            <w:noWrap w:val="0"/>
            <w:vAlign w:val="center"/>
          </w:tcPr>
          <w:p>
            <w:pPr>
              <w:widowControl/>
              <w:jc w:val="center"/>
              <w:rPr>
                <w:rFonts w:ascii="宋体" w:hAnsi="宋体" w:cs="宋体"/>
                <w:color w:val="000000"/>
                <w:kern w:val="0"/>
                <w:szCs w:val="21"/>
              </w:rPr>
            </w:pPr>
          </w:p>
        </w:tc>
        <w:tc>
          <w:tcPr>
            <w:tcW w:w="2835" w:type="dxa"/>
            <w:noWrap w:val="0"/>
            <w:vAlign w:val="center"/>
          </w:tcPr>
          <w:p>
            <w:pPr>
              <w:widowControl/>
              <w:jc w:val="center"/>
              <w:rPr>
                <w:rFonts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18</w:t>
            </w:r>
          </w:p>
        </w:tc>
        <w:tc>
          <w:tcPr>
            <w:tcW w:w="1571" w:type="dxa"/>
            <w:noWrap w:val="0"/>
            <w:vAlign w:val="top"/>
          </w:tcPr>
          <w:p>
            <w:pPr>
              <w:jc w:val="center"/>
              <w:rPr>
                <w:rFonts w:ascii="宋体" w:hAnsi="宋体" w:cs="宋体"/>
                <w:color w:val="000000"/>
                <w:sz w:val="22"/>
              </w:rPr>
            </w:pPr>
          </w:p>
        </w:tc>
        <w:tc>
          <w:tcPr>
            <w:tcW w:w="992" w:type="dxa"/>
            <w:noWrap w:val="0"/>
            <w:vAlign w:val="center"/>
          </w:tcPr>
          <w:p>
            <w:pPr>
              <w:jc w:val="center"/>
              <w:rPr>
                <w:rFonts w:ascii="宋体" w:hAnsi="宋体" w:cs="宋体"/>
                <w:color w:val="000000"/>
                <w:sz w:val="22"/>
              </w:rPr>
            </w:pPr>
          </w:p>
        </w:tc>
        <w:tc>
          <w:tcPr>
            <w:tcW w:w="2835" w:type="dxa"/>
            <w:noWrap w:val="0"/>
            <w:vAlign w:val="center"/>
          </w:tcPr>
          <w:p>
            <w:pPr>
              <w:widowControl/>
              <w:jc w:val="center"/>
              <w:rPr>
                <w:rFonts w:hint="eastAsia"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22" w:type="dxa"/>
            <w:noWrap w:val="0"/>
            <w:vAlign w:val="top"/>
          </w:tcPr>
          <w:p>
            <w:pPr>
              <w:spacing w:line="360" w:lineRule="auto"/>
              <w:rPr>
                <w:rFonts w:hint="eastAsia" w:ascii="宋体" w:hAnsi="宋体"/>
              </w:rPr>
            </w:pPr>
            <w:r>
              <w:rPr>
                <w:rFonts w:hint="eastAsia" w:ascii="宋体" w:hAnsi="宋体"/>
              </w:rPr>
              <w:t>19</w:t>
            </w:r>
          </w:p>
        </w:tc>
        <w:tc>
          <w:tcPr>
            <w:tcW w:w="1571" w:type="dxa"/>
            <w:noWrap w:val="0"/>
            <w:vAlign w:val="top"/>
          </w:tcPr>
          <w:p>
            <w:pPr>
              <w:jc w:val="center"/>
              <w:rPr>
                <w:rFonts w:ascii="宋体" w:hAnsi="宋体" w:cs="宋体"/>
                <w:color w:val="000000"/>
                <w:sz w:val="22"/>
              </w:rPr>
            </w:pPr>
          </w:p>
        </w:tc>
        <w:tc>
          <w:tcPr>
            <w:tcW w:w="992" w:type="dxa"/>
            <w:noWrap w:val="0"/>
            <w:vAlign w:val="center"/>
          </w:tcPr>
          <w:p>
            <w:pPr>
              <w:jc w:val="center"/>
              <w:rPr>
                <w:rFonts w:ascii="宋体" w:hAnsi="宋体" w:cs="宋体"/>
                <w:color w:val="000000"/>
                <w:sz w:val="22"/>
              </w:rPr>
            </w:pPr>
          </w:p>
        </w:tc>
        <w:tc>
          <w:tcPr>
            <w:tcW w:w="2835" w:type="dxa"/>
            <w:noWrap w:val="0"/>
            <w:vAlign w:val="center"/>
          </w:tcPr>
          <w:p>
            <w:pPr>
              <w:widowControl/>
              <w:jc w:val="center"/>
              <w:rPr>
                <w:rFonts w:hint="eastAsia" w:ascii="宋体" w:hAnsi="宋体" w:cs="宋体"/>
                <w:color w:val="000000"/>
                <w:kern w:val="0"/>
                <w:szCs w:val="21"/>
              </w:rPr>
            </w:pPr>
          </w:p>
        </w:tc>
        <w:tc>
          <w:tcPr>
            <w:tcW w:w="1134" w:type="dxa"/>
            <w:noWrap w:val="0"/>
            <w:vAlign w:val="bottom"/>
          </w:tcPr>
          <w:p>
            <w:pPr>
              <w:jc w:val="center"/>
              <w:rPr>
                <w:rFonts w:ascii="宋体" w:hAnsi="宋体" w:cs="宋体"/>
                <w:sz w:val="24"/>
              </w:rPr>
            </w:pPr>
          </w:p>
        </w:tc>
        <w:tc>
          <w:tcPr>
            <w:tcW w:w="1288" w:type="dxa"/>
            <w:noWrap w:val="0"/>
            <w:vAlign w:val="bottom"/>
          </w:tcPr>
          <w:p>
            <w:pPr>
              <w:jc w:val="center"/>
              <w:rPr>
                <w:rFonts w:ascii="宋体" w:hAnsi="宋体" w:cs="宋体"/>
                <w:sz w:val="24"/>
              </w:rPr>
            </w:pPr>
          </w:p>
        </w:tc>
      </w:tr>
    </w:tbl>
    <w:p>
      <w:pPr>
        <w:spacing w:line="300" w:lineRule="auto"/>
        <w:rPr>
          <w:rFonts w:hint="eastAsia"/>
          <w:sz w:val="24"/>
        </w:rPr>
      </w:pPr>
    </w:p>
    <w:p>
      <w:pPr>
        <w:spacing w:line="300" w:lineRule="auto"/>
        <w:rPr>
          <w:rFonts w:hint="eastAsia"/>
          <w:sz w:val="24"/>
        </w:rPr>
      </w:pPr>
      <w:r>
        <w:rPr>
          <w:rFonts w:hint="eastAsia"/>
          <w:sz w:val="24"/>
        </w:rPr>
        <w:t>面试评委小组签字：</w:t>
      </w:r>
    </w:p>
    <w:p>
      <w:pPr>
        <w:spacing w:line="300" w:lineRule="auto"/>
        <w:rPr>
          <w:sz w:val="24"/>
        </w:rPr>
      </w:pPr>
    </w:p>
    <w:p>
      <w:pPr>
        <w:spacing w:line="300" w:lineRule="auto"/>
        <w:jc w:val="right"/>
        <w:rPr>
          <w:rFonts w:hint="eastAsia" w:ascii="宋体" w:hAnsi="宋体"/>
          <w:sz w:val="24"/>
        </w:rPr>
      </w:pPr>
      <w:r>
        <w:rPr>
          <w:rFonts w:hint="eastAsia"/>
          <w:sz w:val="24"/>
        </w:rPr>
        <w:t xml:space="preserve">学院（公章）                                                                                     </w:t>
      </w:r>
      <w:r>
        <w:rPr>
          <w:rFonts w:hint="eastAsia" w:ascii="宋体" w:hAnsi="宋体"/>
          <w:sz w:val="24"/>
        </w:rPr>
        <w:t>年     月     日</w:t>
      </w:r>
    </w:p>
    <w:p>
      <w:pPr>
        <w:spacing w:before="78" w:after="78"/>
        <w:ind w:right="640"/>
        <w:rPr>
          <w:rFonts w:hint="eastAsia" w:ascii="宋体" w:hAnsi="宋体"/>
          <w:sz w:val="28"/>
          <w:szCs w:val="28"/>
        </w:rPr>
        <w:sectPr>
          <w:pgSz w:w="11906" w:h="16838"/>
          <w:pgMar w:top="1134" w:right="1797" w:bottom="1134" w:left="1797" w:header="851" w:footer="992" w:gutter="0"/>
          <w:cols w:space="720" w:num="1"/>
          <w:docGrid w:type="lines" w:linePitch="312" w:charSpace="0"/>
        </w:sectPr>
      </w:pPr>
    </w:p>
    <w:p>
      <w:pPr>
        <w:rPr>
          <w:rFonts w:hint="eastAsia"/>
          <w:b/>
          <w:sz w:val="32"/>
          <w:szCs w:val="32"/>
        </w:rPr>
      </w:pPr>
      <w:r>
        <w:rPr>
          <w:rFonts w:hint="eastAsia"/>
          <w:sz w:val="24"/>
        </w:rPr>
        <w:t>附件3</w:t>
      </w:r>
    </w:p>
    <w:p>
      <w:pPr>
        <w:jc w:val="center"/>
        <w:rPr>
          <w:rFonts w:hint="eastAsia"/>
          <w:b/>
          <w:sz w:val="32"/>
          <w:szCs w:val="32"/>
        </w:rPr>
      </w:pPr>
      <w:r>
        <w:rPr>
          <w:rFonts w:hint="eastAsia"/>
          <w:b/>
          <w:sz w:val="32"/>
          <w:szCs w:val="32"/>
        </w:rPr>
        <w:t>“XXXX专业”转专业拟录取学生名单</w:t>
      </w:r>
    </w:p>
    <w:p>
      <w:pPr>
        <w:jc w:val="right"/>
        <w:rPr>
          <w:rFonts w:hint="eastAsia"/>
          <w:b/>
          <w:sz w:val="22"/>
        </w:rPr>
      </w:pPr>
      <w:r>
        <w:rPr>
          <w:rFonts w:hint="eastAsia"/>
          <w:b/>
          <w:sz w:val="22"/>
        </w:rPr>
        <w:t>（学院公章）</w:t>
      </w:r>
    </w:p>
    <w:tbl>
      <w:tblPr>
        <w:tblStyle w:val="4"/>
        <w:tblpPr w:leftFromText="180" w:rightFromText="180" w:vertAnchor="text" w:horzAnchor="margin" w:tblpXSpec="center" w:tblpY="158"/>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82"/>
        <w:gridCol w:w="1361"/>
        <w:gridCol w:w="1932"/>
        <w:gridCol w:w="193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28" w:type="dxa"/>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序号</w:t>
            </w:r>
          </w:p>
        </w:tc>
        <w:tc>
          <w:tcPr>
            <w:tcW w:w="1682" w:type="dxa"/>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学号</w:t>
            </w:r>
          </w:p>
        </w:tc>
        <w:tc>
          <w:tcPr>
            <w:tcW w:w="1361" w:type="dxa"/>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1932" w:type="dxa"/>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原二级学院</w:t>
            </w:r>
          </w:p>
        </w:tc>
        <w:tc>
          <w:tcPr>
            <w:tcW w:w="1932" w:type="dxa"/>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原专业</w:t>
            </w:r>
          </w:p>
        </w:tc>
        <w:tc>
          <w:tcPr>
            <w:tcW w:w="1015" w:type="dxa"/>
            <w:noWrap/>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考核总排名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682" w:type="dxa"/>
            <w:noWrap w:val="0"/>
            <w:vAlign w:val="center"/>
          </w:tcPr>
          <w:p>
            <w:pPr>
              <w:widowControl/>
              <w:jc w:val="center"/>
              <w:rPr>
                <w:rFonts w:ascii="宋体" w:hAnsi="宋体" w:cs="宋体"/>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spacing w:line="240" w:lineRule="exact"/>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682" w:type="dxa"/>
            <w:noWrap w:val="0"/>
            <w:vAlign w:val="center"/>
          </w:tcPr>
          <w:p>
            <w:pPr>
              <w:widowControl/>
              <w:jc w:val="center"/>
              <w:rPr>
                <w:rFonts w:ascii="宋体" w:hAnsi="宋体" w:cs="宋体"/>
                <w:color w:val="000000"/>
                <w:kern w:val="0"/>
                <w:szCs w:val="21"/>
              </w:rPr>
            </w:pPr>
          </w:p>
        </w:tc>
        <w:tc>
          <w:tcPr>
            <w:tcW w:w="1361" w:type="dxa"/>
            <w:noWrap w:val="0"/>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932" w:type="dxa"/>
            <w:noWrap/>
            <w:vAlign w:val="center"/>
          </w:tcPr>
          <w:p>
            <w:pPr>
              <w:widowControl/>
              <w:jc w:val="center"/>
              <w:rPr>
                <w:rFonts w:ascii="宋体" w:hAnsi="宋体" w:cs="宋体"/>
                <w:color w:val="000000"/>
                <w:kern w:val="0"/>
                <w:szCs w:val="21"/>
              </w:rPr>
            </w:pPr>
          </w:p>
        </w:tc>
        <w:tc>
          <w:tcPr>
            <w:tcW w:w="1015" w:type="dxa"/>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tcBorders>
              <w:bottom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682" w:type="dxa"/>
            <w:tcBorders>
              <w:bottom w:val="single" w:color="auto" w:sz="4" w:space="0"/>
            </w:tcBorders>
            <w:noWrap w:val="0"/>
            <w:vAlign w:val="center"/>
          </w:tcPr>
          <w:p>
            <w:pPr>
              <w:widowControl/>
              <w:jc w:val="center"/>
              <w:rPr>
                <w:rFonts w:ascii="宋体" w:hAnsi="宋体" w:cs="宋体"/>
                <w:color w:val="000000"/>
                <w:kern w:val="0"/>
                <w:szCs w:val="21"/>
              </w:rPr>
            </w:pPr>
          </w:p>
        </w:tc>
        <w:tc>
          <w:tcPr>
            <w:tcW w:w="1361" w:type="dxa"/>
            <w:tcBorders>
              <w:bottom w:val="single" w:color="auto" w:sz="4" w:space="0"/>
            </w:tcBorders>
            <w:noWrap w:val="0"/>
            <w:vAlign w:val="center"/>
          </w:tcPr>
          <w:p>
            <w:pPr>
              <w:widowControl/>
              <w:jc w:val="center"/>
              <w:rPr>
                <w:rFonts w:ascii="宋体" w:hAnsi="宋体" w:cs="宋体"/>
                <w:color w:val="000000"/>
                <w:kern w:val="0"/>
                <w:szCs w:val="21"/>
              </w:rPr>
            </w:pPr>
          </w:p>
        </w:tc>
        <w:tc>
          <w:tcPr>
            <w:tcW w:w="1932" w:type="dxa"/>
            <w:tcBorders>
              <w:bottom w:val="single" w:color="auto" w:sz="4" w:space="0"/>
            </w:tcBorders>
            <w:noWrap/>
            <w:vAlign w:val="center"/>
          </w:tcPr>
          <w:p>
            <w:pPr>
              <w:widowControl/>
              <w:jc w:val="center"/>
              <w:rPr>
                <w:rFonts w:ascii="宋体" w:hAnsi="宋体" w:cs="宋体"/>
                <w:color w:val="000000"/>
                <w:kern w:val="0"/>
                <w:szCs w:val="21"/>
              </w:rPr>
            </w:pPr>
          </w:p>
        </w:tc>
        <w:tc>
          <w:tcPr>
            <w:tcW w:w="1932" w:type="dxa"/>
            <w:tcBorders>
              <w:bottom w:val="single" w:color="auto" w:sz="4" w:space="0"/>
            </w:tcBorders>
            <w:noWrap/>
            <w:vAlign w:val="center"/>
          </w:tcPr>
          <w:p>
            <w:pPr>
              <w:widowControl/>
              <w:jc w:val="center"/>
              <w:rPr>
                <w:rFonts w:ascii="宋体" w:hAnsi="宋体" w:cs="宋体"/>
                <w:color w:val="000000"/>
                <w:kern w:val="0"/>
                <w:szCs w:val="21"/>
              </w:rPr>
            </w:pPr>
          </w:p>
        </w:tc>
        <w:tc>
          <w:tcPr>
            <w:tcW w:w="1015" w:type="dxa"/>
            <w:tcBorders>
              <w:bottom w:val="single" w:color="auto" w:sz="4" w:space="0"/>
            </w:tcBorders>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0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0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c>
          <w:tcPr>
            <w:tcW w:w="10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p>
        </w:tc>
      </w:tr>
    </w:tbl>
    <w:p>
      <w:pPr>
        <w:spacing w:line="300" w:lineRule="auto"/>
        <w:ind w:firstLine="560" w:firstLineChars="200"/>
        <w:jc w:val="left"/>
        <w:rPr>
          <w:rFonts w:ascii="宋体" w:hAnsi="宋体" w:cs="宋体"/>
          <w:sz w:val="28"/>
          <w:szCs w:val="28"/>
        </w:rPr>
      </w:pPr>
    </w:p>
    <w:p>
      <w:pPr>
        <w:spacing w:line="300" w:lineRule="auto"/>
        <w:ind w:firstLine="560" w:firstLineChars="200"/>
        <w:jc w:val="left"/>
        <w:rPr>
          <w:rFonts w:ascii="宋体" w:hAnsi="宋体" w:cs="宋体"/>
          <w:sz w:val="28"/>
          <w:szCs w:val="28"/>
        </w:rPr>
      </w:pPr>
    </w:p>
    <w:p>
      <w:pPr>
        <w:spacing w:line="300" w:lineRule="auto"/>
        <w:jc w:val="right"/>
        <w:rPr>
          <w:rFonts w:hint="eastAsia" w:ascii="宋体" w:hAnsi="宋体"/>
          <w:sz w:val="24"/>
        </w:rPr>
      </w:pPr>
      <w:r>
        <w:rPr>
          <w:rFonts w:hint="eastAsia" w:ascii="宋体" w:hAnsi="宋体"/>
          <w:sz w:val="24"/>
        </w:rPr>
        <w:t>年     月     日</w:t>
      </w:r>
    </w:p>
    <w:p>
      <w:pPr>
        <w:spacing w:line="300" w:lineRule="auto"/>
        <w:jc w:val="left"/>
        <w:rPr>
          <w:rFonts w:hint="eastAsia" w:ascii="宋体" w:hAnsi="宋体" w:cs="宋体"/>
          <w:sz w:val="28"/>
          <w:szCs w:val="28"/>
          <w:highlight w:val="none"/>
        </w:rPr>
      </w:pPr>
    </w:p>
    <w:p>
      <w:pPr>
        <w:pStyle w:val="2"/>
        <w:bidi w:val="0"/>
        <w:rPr>
          <w:rFonts w:hint="eastAsia"/>
          <w:highlight w:val="none"/>
        </w:rPr>
      </w:pPr>
      <w:r>
        <w:rPr>
          <w:rFonts w:hint="eastAsia"/>
          <w:highlight w:val="none"/>
          <w:lang w:val="en-US" w:eastAsia="zh-CN"/>
        </w:rPr>
        <w:t>贵州商学院经济</w:t>
      </w:r>
      <w:r>
        <w:rPr>
          <w:rFonts w:hint="eastAsia"/>
          <w:highlight w:val="none"/>
        </w:rPr>
        <w:t>学院</w:t>
      </w:r>
    </w:p>
    <w:p>
      <w:pPr>
        <w:pStyle w:val="2"/>
        <w:bidi w:val="0"/>
        <w:rPr>
          <w:rFonts w:hint="eastAsia"/>
          <w:highlight w:val="none"/>
        </w:rPr>
      </w:pPr>
      <w:r>
        <w:rPr>
          <w:rFonts w:hint="eastAsia"/>
          <w:highlight w:val="none"/>
          <w:lang w:val="en-US" w:eastAsia="zh-CN"/>
        </w:rPr>
        <w:t>2020—2021学年第1学期</w:t>
      </w:r>
      <w:r>
        <w:rPr>
          <w:rFonts w:hint="eastAsia"/>
          <w:highlight w:val="none"/>
          <w:lang w:eastAsia="zh-CN"/>
        </w:rPr>
        <w:t>学生</w:t>
      </w:r>
      <w:r>
        <w:rPr>
          <w:rFonts w:hint="eastAsia"/>
          <w:highlight w:val="none"/>
        </w:rPr>
        <w:t>转专业考核办法</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根据《贵州商学院学生转专业管理细则（修订）》的文件精神，结合</w:t>
      </w:r>
      <w:r>
        <w:rPr>
          <w:rFonts w:hint="eastAsia" w:ascii="仿宋" w:hAnsi="仿宋" w:eastAsia="仿宋" w:cs="仿宋"/>
          <w:color w:val="000000"/>
          <w:sz w:val="30"/>
          <w:szCs w:val="30"/>
          <w:lang w:val="en-US" w:eastAsia="zh-CN"/>
        </w:rPr>
        <w:t>经济</w:t>
      </w:r>
      <w:r>
        <w:rPr>
          <w:rFonts w:hint="eastAsia" w:ascii="仿宋" w:hAnsi="仿宋" w:eastAsia="仿宋" w:cs="仿宋"/>
          <w:color w:val="000000"/>
          <w:sz w:val="30"/>
          <w:szCs w:val="30"/>
        </w:rPr>
        <w:t>学院各专业实际情况，现制定</w:t>
      </w:r>
      <w:r>
        <w:rPr>
          <w:rFonts w:hint="eastAsia" w:ascii="仿宋" w:hAnsi="仿宋" w:eastAsia="仿宋" w:cs="仿宋"/>
          <w:color w:val="000000"/>
          <w:sz w:val="30"/>
          <w:szCs w:val="30"/>
          <w:lang w:val="en-US" w:eastAsia="zh-CN"/>
        </w:rPr>
        <w:t>经济学院</w:t>
      </w:r>
      <w:r>
        <w:rPr>
          <w:rFonts w:hint="eastAsia" w:ascii="仿宋" w:hAnsi="仿宋" w:eastAsia="仿宋" w:cs="仿宋"/>
          <w:color w:val="000000"/>
          <w:sz w:val="30"/>
          <w:szCs w:val="30"/>
          <w:lang w:eastAsia="zh-CN"/>
        </w:rPr>
        <w:t>20</w:t>
      </w:r>
      <w:r>
        <w:rPr>
          <w:rFonts w:hint="eastAsia" w:ascii="仿宋" w:hAnsi="仿宋" w:eastAsia="仿宋" w:cs="仿宋"/>
          <w:color w:val="000000"/>
          <w:sz w:val="30"/>
          <w:szCs w:val="30"/>
          <w:lang w:val="en-US" w:eastAsia="zh-CN"/>
        </w:rPr>
        <w:t>20</w:t>
      </w:r>
      <w:r>
        <w:rPr>
          <w:rFonts w:hint="eastAsia" w:ascii="仿宋" w:hAnsi="仿宋" w:eastAsia="仿宋" w:cs="仿宋"/>
          <w:color w:val="000000"/>
          <w:sz w:val="30"/>
          <w:szCs w:val="30"/>
          <w:lang w:eastAsia="zh-CN"/>
        </w:rPr>
        <w:t>—20</w:t>
      </w:r>
      <w:r>
        <w:rPr>
          <w:rFonts w:hint="eastAsia" w:ascii="仿宋" w:hAnsi="仿宋" w:eastAsia="仿宋" w:cs="仿宋"/>
          <w:color w:val="000000"/>
          <w:sz w:val="30"/>
          <w:szCs w:val="30"/>
          <w:lang w:val="en-US" w:eastAsia="zh-CN"/>
        </w:rPr>
        <w:t>21</w:t>
      </w:r>
      <w:r>
        <w:rPr>
          <w:rFonts w:hint="eastAsia" w:ascii="仿宋" w:hAnsi="仿宋" w:eastAsia="仿宋" w:cs="仿宋"/>
          <w:color w:val="000000"/>
          <w:sz w:val="30"/>
          <w:szCs w:val="30"/>
          <w:lang w:eastAsia="zh-CN"/>
        </w:rPr>
        <w:t>学年第</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lang w:eastAsia="zh-CN"/>
        </w:rPr>
        <w:t>学期</w:t>
      </w:r>
      <w:r>
        <w:rPr>
          <w:rFonts w:hint="eastAsia" w:ascii="仿宋" w:hAnsi="仿宋" w:eastAsia="仿宋" w:cs="仿宋"/>
          <w:color w:val="000000"/>
          <w:sz w:val="30"/>
          <w:szCs w:val="30"/>
        </w:rPr>
        <w:t>接收</w:t>
      </w:r>
      <w:r>
        <w:rPr>
          <w:rFonts w:hint="eastAsia" w:ascii="仿宋" w:hAnsi="仿宋" w:eastAsia="仿宋" w:cs="仿宋"/>
          <w:color w:val="000000"/>
          <w:sz w:val="30"/>
          <w:szCs w:val="30"/>
          <w:lang w:val="en-US" w:eastAsia="zh-CN"/>
        </w:rPr>
        <w:t>学生</w:t>
      </w:r>
      <w:r>
        <w:rPr>
          <w:rFonts w:hint="eastAsia" w:ascii="仿宋" w:hAnsi="仿宋" w:eastAsia="仿宋" w:cs="仿宋"/>
          <w:color w:val="000000"/>
          <w:sz w:val="30"/>
          <w:szCs w:val="30"/>
        </w:rPr>
        <w:t>转专业</w:t>
      </w:r>
      <w:r>
        <w:rPr>
          <w:rFonts w:hint="eastAsia" w:ascii="仿宋" w:hAnsi="仿宋" w:eastAsia="仿宋" w:cs="仿宋"/>
          <w:color w:val="000000"/>
          <w:sz w:val="30"/>
          <w:szCs w:val="30"/>
          <w:lang w:val="en-US" w:eastAsia="zh-CN"/>
        </w:rPr>
        <w:t>实施方案</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第一条</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lang w:eastAsia="zh-CN"/>
        </w:rPr>
        <w:t>经济学院转专业工作小组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成立</w:t>
      </w:r>
      <w:r>
        <w:rPr>
          <w:rFonts w:hint="eastAsia" w:ascii="仿宋" w:hAnsi="仿宋" w:eastAsia="仿宋" w:cs="仿宋"/>
          <w:sz w:val="30"/>
          <w:szCs w:val="30"/>
          <w:lang w:val="en-US" w:eastAsia="zh-CN"/>
        </w:rPr>
        <w:t>经济学院</w:t>
      </w:r>
      <w:r>
        <w:rPr>
          <w:rFonts w:hint="eastAsia" w:ascii="仿宋" w:hAnsi="仿宋" w:eastAsia="仿宋" w:cs="仿宋"/>
          <w:sz w:val="30"/>
          <w:szCs w:val="30"/>
        </w:rPr>
        <w:t>转专业党政联席会工作小组，负责</w:t>
      </w:r>
      <w:r>
        <w:rPr>
          <w:rFonts w:hint="eastAsia" w:ascii="仿宋" w:hAnsi="仿宋" w:eastAsia="仿宋" w:cs="仿宋"/>
          <w:sz w:val="30"/>
          <w:szCs w:val="30"/>
          <w:lang w:val="en-US" w:eastAsia="zh-CN"/>
        </w:rPr>
        <w:t>经济学院</w:t>
      </w:r>
      <w:r>
        <w:rPr>
          <w:rFonts w:hint="eastAsia" w:ascii="仿宋" w:hAnsi="仿宋" w:eastAsia="仿宋" w:cs="仿宋"/>
          <w:sz w:val="30"/>
          <w:szCs w:val="30"/>
        </w:rPr>
        <w:t>本科学生转专业所有相关事宜。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组长：庞郁华 曾绍伦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副组长：付茂业 蔺琛 王黔京</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bCs/>
          <w:sz w:val="30"/>
          <w:szCs w:val="30"/>
          <w:lang w:val="en-US"/>
        </w:rPr>
      </w:pPr>
      <w:r>
        <w:rPr>
          <w:rFonts w:hint="eastAsia" w:ascii="仿宋" w:hAnsi="仿宋" w:eastAsia="仿宋" w:cs="仿宋"/>
          <w:sz w:val="30"/>
          <w:szCs w:val="30"/>
          <w:lang w:val="en-US" w:eastAsia="zh-CN"/>
        </w:rPr>
        <w:t>组员：郭旭 解静 杨世明 王静娴</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仿宋" w:hAnsi="仿宋" w:eastAsia="仿宋" w:cs="仿宋"/>
          <w:b/>
          <w:sz w:val="30"/>
          <w:szCs w:val="30"/>
          <w:lang w:val="en-US"/>
        </w:rPr>
      </w:pPr>
      <w:r>
        <w:rPr>
          <w:rFonts w:hint="eastAsia" w:ascii="仿宋" w:hAnsi="仿宋" w:eastAsia="仿宋" w:cs="仿宋"/>
          <w:b/>
          <w:sz w:val="30"/>
          <w:szCs w:val="30"/>
          <w:lang w:val="en-US" w:eastAsia="zh-CN"/>
        </w:rPr>
        <w:t>第二条 接收专业、接收原则、接收条件及名额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经济</w:t>
      </w:r>
      <w:r>
        <w:rPr>
          <w:rFonts w:hint="eastAsia" w:ascii="仿宋" w:hAnsi="仿宋" w:eastAsia="仿宋" w:cs="仿宋"/>
          <w:sz w:val="30"/>
          <w:szCs w:val="30"/>
        </w:rPr>
        <w:t>学院</w:t>
      </w:r>
      <w:r>
        <w:rPr>
          <w:rFonts w:hint="eastAsia" w:ascii="仿宋" w:hAnsi="仿宋" w:eastAsia="仿宋" w:cs="仿宋"/>
          <w:sz w:val="30"/>
          <w:szCs w:val="30"/>
          <w:lang w:eastAsia="zh-CN"/>
        </w:rPr>
        <w:t>20</w:t>
      </w:r>
      <w:r>
        <w:rPr>
          <w:rFonts w:hint="eastAsia" w:ascii="仿宋" w:hAnsi="仿宋" w:eastAsia="仿宋" w:cs="仿宋"/>
          <w:sz w:val="30"/>
          <w:szCs w:val="30"/>
          <w:lang w:val="en-US" w:eastAsia="zh-CN"/>
        </w:rPr>
        <w:t>20</w:t>
      </w:r>
      <w:r>
        <w:rPr>
          <w:rFonts w:hint="eastAsia" w:ascii="仿宋" w:hAnsi="仿宋" w:eastAsia="仿宋" w:cs="仿宋"/>
          <w:sz w:val="30"/>
          <w:szCs w:val="30"/>
          <w:lang w:eastAsia="zh-CN"/>
        </w:rPr>
        <w:t>—20</w:t>
      </w:r>
      <w:r>
        <w:rPr>
          <w:rFonts w:hint="eastAsia" w:ascii="仿宋" w:hAnsi="仿宋" w:eastAsia="仿宋" w:cs="仿宋"/>
          <w:sz w:val="30"/>
          <w:szCs w:val="30"/>
          <w:lang w:val="en-US" w:eastAsia="zh-CN"/>
        </w:rPr>
        <w:t>21</w:t>
      </w:r>
      <w:r>
        <w:rPr>
          <w:rFonts w:hint="eastAsia" w:ascii="仿宋" w:hAnsi="仿宋" w:eastAsia="仿宋" w:cs="仿宋"/>
          <w:sz w:val="30"/>
          <w:szCs w:val="30"/>
          <w:lang w:eastAsia="zh-CN"/>
        </w:rPr>
        <w:t>学年第</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学期</w:t>
      </w:r>
      <w:r>
        <w:rPr>
          <w:rFonts w:hint="eastAsia" w:ascii="仿宋" w:hAnsi="仿宋" w:eastAsia="仿宋" w:cs="仿宋"/>
          <w:sz w:val="30"/>
          <w:szCs w:val="30"/>
        </w:rPr>
        <w:t>可接收转专业的专业包括国际商务、国际经济与贸易、贸易经济</w:t>
      </w:r>
      <w:r>
        <w:rPr>
          <w:rFonts w:hint="eastAsia" w:ascii="仿宋" w:hAnsi="仿宋" w:eastAsia="仿宋" w:cs="仿宋"/>
          <w:sz w:val="30"/>
          <w:szCs w:val="30"/>
          <w:lang w:val="en-US" w:eastAsia="zh-CN"/>
        </w:rPr>
        <w:t>等</w:t>
      </w:r>
      <w:r>
        <w:rPr>
          <w:rFonts w:hint="eastAsia" w:ascii="仿宋" w:hAnsi="仿宋" w:eastAsia="仿宋" w:cs="仿宋"/>
          <w:sz w:val="30"/>
          <w:szCs w:val="30"/>
        </w:rPr>
        <w:t>三个本科专业。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（一）</w:t>
      </w:r>
      <w:r>
        <w:rPr>
          <w:rFonts w:hint="eastAsia" w:ascii="仿宋" w:hAnsi="仿宋" w:eastAsia="仿宋" w:cs="仿宋"/>
          <w:sz w:val="30"/>
          <w:szCs w:val="30"/>
          <w:lang w:val="en-US" w:eastAsia="zh-CN"/>
        </w:rPr>
        <w:t>接收</w:t>
      </w:r>
      <w:r>
        <w:rPr>
          <w:rFonts w:hint="eastAsia" w:ascii="仿宋" w:hAnsi="仿宋" w:eastAsia="仿宋" w:cs="仿宋"/>
          <w:sz w:val="30"/>
          <w:szCs w:val="30"/>
          <w:lang w:eastAsia="zh-CN"/>
        </w:rPr>
        <w:t>专业名额</w:t>
      </w:r>
    </w:p>
    <w:tbl>
      <w:tblPr>
        <w:tblStyle w:val="5"/>
        <w:tblW w:w="7628" w:type="dxa"/>
        <w:tblInd w:w="8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专业名称</w:t>
            </w:r>
          </w:p>
        </w:tc>
        <w:tc>
          <w:tcPr>
            <w:tcW w:w="33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rPr>
              <w:t>国际商务</w:t>
            </w:r>
          </w:p>
        </w:tc>
        <w:tc>
          <w:tcPr>
            <w:tcW w:w="33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rPr>
              <w:t>国际经济与贸易</w:t>
            </w:r>
          </w:p>
        </w:tc>
        <w:tc>
          <w:tcPr>
            <w:tcW w:w="33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rPr>
              <w:t>贸易经济</w:t>
            </w:r>
          </w:p>
        </w:tc>
        <w:tc>
          <w:tcPr>
            <w:tcW w:w="33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(二)接收原则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坚持教育公平公正，突出以学生为本，尊重学生意愿、注重个性发展、培养应用型人才为原则开展转专业工作。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(三)接收条件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1.面向2019级、2020级经济学、管理学和工学学科项下专业本科生。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2.2019级、2020级学生需同时达到高考英语成绩</w:t>
      </w:r>
      <w:r>
        <w:rPr>
          <w:rFonts w:hint="eastAsia" w:ascii="仿宋" w:hAnsi="仿宋" w:eastAsia="仿宋" w:cs="仿宋"/>
          <w:i w:val="0"/>
          <w:caps w:val="0"/>
          <w:color w:val="333333"/>
          <w:spacing w:val="0"/>
          <w:sz w:val="30"/>
          <w:szCs w:val="30"/>
          <w:shd w:val="clear" w:color="auto" w:fill="FFFFFF"/>
        </w:rPr>
        <w:t>≥</w:t>
      </w:r>
      <w:r>
        <w:rPr>
          <w:rFonts w:hint="eastAsia" w:ascii="仿宋" w:hAnsi="仿宋" w:eastAsia="仿宋" w:cs="仿宋"/>
          <w:b w:val="0"/>
          <w:bCs w:val="0"/>
          <w:sz w:val="30"/>
          <w:szCs w:val="30"/>
          <w:lang w:val="en-US" w:eastAsia="zh-CN"/>
        </w:rPr>
        <w:t>120分；高考数学成绩</w:t>
      </w:r>
      <w:r>
        <w:rPr>
          <w:rFonts w:hint="eastAsia" w:ascii="仿宋" w:hAnsi="仿宋" w:eastAsia="仿宋" w:cs="仿宋"/>
          <w:i w:val="0"/>
          <w:caps w:val="0"/>
          <w:color w:val="333333"/>
          <w:spacing w:val="0"/>
          <w:sz w:val="30"/>
          <w:szCs w:val="30"/>
          <w:shd w:val="clear" w:color="auto" w:fill="FFFFFF"/>
        </w:rPr>
        <w:t>≥</w:t>
      </w:r>
      <w:r>
        <w:rPr>
          <w:rFonts w:hint="eastAsia" w:ascii="仿宋" w:hAnsi="仿宋" w:eastAsia="仿宋" w:cs="仿宋"/>
          <w:b w:val="0"/>
          <w:bCs w:val="0"/>
          <w:sz w:val="30"/>
          <w:szCs w:val="30"/>
          <w:lang w:val="en-US" w:eastAsia="zh-CN"/>
        </w:rPr>
        <w:t>120分。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3.2019级学生需满足入学以来每学期综合量化总分在本专业排名前10%，且无挂科科目。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（四）转出名额：不限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第三条</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工作程序及完成时限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（一）审核、公示转出学生名单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val="0"/>
          <w:bCs w:val="0"/>
          <w:color w:val="2A2F35"/>
          <w:sz w:val="30"/>
          <w:szCs w:val="30"/>
          <w:lang w:val="en-US" w:eastAsia="zh-CN"/>
        </w:rPr>
      </w:pPr>
      <w:r>
        <w:rPr>
          <w:rFonts w:hint="eastAsia" w:ascii="仿宋" w:hAnsi="仿宋" w:eastAsia="仿宋" w:cs="仿宋"/>
          <w:b w:val="0"/>
          <w:bCs w:val="0"/>
          <w:color w:val="2A2F35"/>
          <w:sz w:val="30"/>
          <w:szCs w:val="30"/>
          <w:lang w:val="en-US" w:eastAsia="zh-CN"/>
        </w:rPr>
        <w:t>1</w:t>
      </w:r>
      <w:r>
        <w:rPr>
          <w:rFonts w:hint="eastAsia" w:ascii="仿宋" w:hAnsi="仿宋" w:eastAsia="仿宋" w:cs="仿宋"/>
          <w:b w:val="0"/>
          <w:bCs w:val="0"/>
          <w:color w:val="2A2F35"/>
          <w:sz w:val="30"/>
          <w:szCs w:val="30"/>
          <w:highlight w:val="none"/>
          <w:lang w:val="en-US" w:eastAsia="zh-CN"/>
        </w:rPr>
        <w:t>.12</w:t>
      </w:r>
      <w:r>
        <w:rPr>
          <w:rFonts w:hint="eastAsia" w:ascii="仿宋" w:hAnsi="仿宋" w:eastAsia="仿宋" w:cs="仿宋"/>
          <w:b w:val="0"/>
          <w:bCs w:val="0"/>
          <w:color w:val="2A2F35"/>
          <w:sz w:val="30"/>
          <w:szCs w:val="30"/>
          <w:highlight w:val="none"/>
        </w:rPr>
        <w:t>月</w:t>
      </w:r>
      <w:r>
        <w:rPr>
          <w:rFonts w:hint="eastAsia" w:ascii="仿宋" w:hAnsi="仿宋" w:eastAsia="仿宋" w:cs="仿宋"/>
          <w:b w:val="0"/>
          <w:bCs w:val="0"/>
          <w:color w:val="2A2F35"/>
          <w:sz w:val="30"/>
          <w:szCs w:val="30"/>
          <w:highlight w:val="none"/>
          <w:lang w:val="en-US" w:eastAsia="zh-CN"/>
        </w:rPr>
        <w:t>2</w:t>
      </w:r>
      <w:r>
        <w:rPr>
          <w:rFonts w:hint="eastAsia" w:ascii="仿宋" w:hAnsi="仿宋" w:eastAsia="仿宋" w:cs="仿宋"/>
          <w:b w:val="0"/>
          <w:bCs w:val="0"/>
          <w:color w:val="2A2F35"/>
          <w:sz w:val="30"/>
          <w:szCs w:val="30"/>
          <w:highlight w:val="none"/>
        </w:rPr>
        <w:t>日，</w:t>
      </w:r>
      <w:r>
        <w:rPr>
          <w:rFonts w:hint="eastAsia" w:ascii="仿宋" w:hAnsi="仿宋" w:eastAsia="仿宋" w:cs="仿宋"/>
          <w:b w:val="0"/>
          <w:bCs w:val="0"/>
          <w:color w:val="2A2F35"/>
          <w:sz w:val="30"/>
          <w:szCs w:val="30"/>
        </w:rPr>
        <w:t>由</w:t>
      </w:r>
      <w:r>
        <w:rPr>
          <w:rFonts w:hint="eastAsia" w:ascii="仿宋" w:hAnsi="仿宋" w:eastAsia="仿宋" w:cs="仿宋"/>
          <w:b w:val="0"/>
          <w:bCs w:val="0"/>
          <w:color w:val="2A2F35"/>
          <w:sz w:val="30"/>
          <w:szCs w:val="30"/>
          <w:lang w:val="en-US" w:eastAsia="zh-CN"/>
        </w:rPr>
        <w:t>2019、</w:t>
      </w:r>
      <w:r>
        <w:rPr>
          <w:rFonts w:hint="eastAsia" w:ascii="仿宋" w:hAnsi="仿宋" w:eastAsia="仿宋" w:cs="仿宋"/>
          <w:b w:val="0"/>
          <w:bCs w:val="0"/>
          <w:color w:val="2A2F35"/>
          <w:sz w:val="30"/>
          <w:szCs w:val="30"/>
        </w:rPr>
        <w:t>2</w:t>
      </w:r>
      <w:r>
        <w:rPr>
          <w:rFonts w:hint="eastAsia" w:ascii="仿宋" w:hAnsi="仿宋" w:eastAsia="仿宋" w:cs="仿宋"/>
          <w:b w:val="0"/>
          <w:bCs w:val="0"/>
          <w:color w:val="2A2F35"/>
          <w:sz w:val="30"/>
          <w:szCs w:val="30"/>
          <w:lang w:val="en-US" w:eastAsia="zh-CN"/>
        </w:rPr>
        <w:t>020</w:t>
      </w:r>
      <w:r>
        <w:rPr>
          <w:rFonts w:hint="eastAsia" w:ascii="仿宋" w:hAnsi="仿宋" w:eastAsia="仿宋" w:cs="仿宋"/>
          <w:b w:val="0"/>
          <w:bCs w:val="0"/>
          <w:color w:val="2A2F35"/>
          <w:sz w:val="30"/>
          <w:szCs w:val="30"/>
        </w:rPr>
        <w:t>级学生本人提出申请并填写</w:t>
      </w:r>
      <w:r>
        <w:rPr>
          <w:rFonts w:hint="eastAsia" w:ascii="仿宋" w:hAnsi="仿宋" w:eastAsia="仿宋" w:cs="仿宋"/>
          <w:b w:val="0"/>
          <w:bCs w:val="0"/>
          <w:color w:val="2A2F35"/>
          <w:sz w:val="30"/>
          <w:szCs w:val="30"/>
          <w:lang w:eastAsia="zh-CN"/>
        </w:rPr>
        <w:t>《</w:t>
      </w:r>
      <w:r>
        <w:rPr>
          <w:rFonts w:hint="eastAsia" w:ascii="仿宋" w:hAnsi="仿宋" w:eastAsia="仿宋" w:cs="仿宋"/>
          <w:b w:val="0"/>
          <w:bCs w:val="0"/>
          <w:color w:val="2A2F35"/>
          <w:sz w:val="30"/>
          <w:szCs w:val="30"/>
          <w:lang w:val="en-US" w:eastAsia="zh-CN"/>
        </w:rPr>
        <w:t>贵州商学院转专业申请表》及相关证明材料，交尚信楼B103经济学院罗祥周老师处。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2A2F35"/>
          <w:sz w:val="30"/>
          <w:szCs w:val="30"/>
          <w:lang w:val="en-US" w:eastAsia="zh-CN"/>
        </w:rPr>
      </w:pPr>
      <w:r>
        <w:rPr>
          <w:rFonts w:hint="eastAsia" w:ascii="仿宋" w:hAnsi="仿宋" w:eastAsia="仿宋" w:cs="仿宋"/>
          <w:b w:val="0"/>
          <w:bCs w:val="0"/>
          <w:color w:val="2A2F35"/>
          <w:sz w:val="30"/>
          <w:szCs w:val="30"/>
          <w:lang w:val="en-US" w:eastAsia="zh-CN"/>
        </w:rPr>
        <w:t>2.</w:t>
      </w:r>
      <w:r>
        <w:rPr>
          <w:rFonts w:hint="eastAsia" w:ascii="仿宋" w:hAnsi="仿宋" w:eastAsia="仿宋" w:cs="仿宋"/>
          <w:b w:val="0"/>
          <w:bCs w:val="0"/>
          <w:color w:val="2A2F35"/>
          <w:sz w:val="30"/>
          <w:szCs w:val="30"/>
          <w:highlight w:val="none"/>
          <w:lang w:val="en-US" w:eastAsia="zh-CN"/>
        </w:rPr>
        <w:t>12月4日，</w:t>
      </w:r>
      <w:r>
        <w:rPr>
          <w:rFonts w:hint="eastAsia" w:ascii="仿宋" w:hAnsi="仿宋" w:eastAsia="仿宋" w:cs="仿宋"/>
          <w:b w:val="0"/>
          <w:bCs w:val="0"/>
          <w:color w:val="2A2F35"/>
          <w:sz w:val="30"/>
          <w:szCs w:val="30"/>
          <w:lang w:val="en-US" w:eastAsia="zh-CN"/>
        </w:rPr>
        <w:t>经济学院组织教师根据《</w:t>
      </w:r>
      <w:bookmarkStart w:id="3" w:name="_Toc433307805"/>
      <w:r>
        <w:rPr>
          <w:rFonts w:hint="eastAsia" w:ascii="仿宋" w:hAnsi="仿宋" w:eastAsia="仿宋" w:cs="仿宋"/>
          <w:b w:val="0"/>
          <w:bCs w:val="0"/>
          <w:color w:val="2A2F35"/>
          <w:sz w:val="30"/>
          <w:szCs w:val="30"/>
          <w:lang w:val="en-US" w:eastAsia="zh-CN"/>
        </w:rPr>
        <w:t>贵州商学院普通高等教育学生转专业管理办法</w:t>
      </w:r>
      <w:bookmarkEnd w:id="3"/>
      <w:r>
        <w:rPr>
          <w:rFonts w:hint="eastAsia" w:ascii="仿宋" w:hAnsi="仿宋" w:eastAsia="仿宋" w:cs="仿宋"/>
          <w:b w:val="0"/>
          <w:bCs w:val="0"/>
          <w:color w:val="2A2F35"/>
          <w:sz w:val="30"/>
          <w:szCs w:val="30"/>
          <w:lang w:val="en-US" w:eastAsia="zh-CN"/>
        </w:rPr>
        <w:t>》对提交来的转出申请及相关证明材料进行审核，依据转出条件及名额，确定各专业拟转出学生名单，并将同意转出的学生名单及相关材料交学生申请转入教务处。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审核转入学生名单、考试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highlight w:val="none"/>
          <w:lang w:val="en-US" w:eastAsia="zh-CN"/>
        </w:rPr>
        <w:t>11</w:t>
      </w:r>
      <w:r>
        <w:rPr>
          <w:rFonts w:hint="eastAsia" w:ascii="仿宋" w:hAnsi="仿宋" w:eastAsia="仿宋" w:cs="仿宋"/>
          <w:b w:val="0"/>
          <w:bCs w:val="0"/>
          <w:color w:val="2A2F35"/>
          <w:sz w:val="30"/>
          <w:szCs w:val="30"/>
          <w:highlight w:val="none"/>
        </w:rPr>
        <w:t>月</w:t>
      </w:r>
      <w:r>
        <w:rPr>
          <w:rFonts w:hint="eastAsia" w:ascii="仿宋" w:hAnsi="仿宋" w:eastAsia="仿宋" w:cs="仿宋"/>
          <w:b w:val="0"/>
          <w:bCs w:val="0"/>
          <w:color w:val="2A2F35"/>
          <w:sz w:val="30"/>
          <w:szCs w:val="30"/>
          <w:highlight w:val="none"/>
          <w:lang w:val="en-US" w:eastAsia="zh-CN"/>
        </w:rPr>
        <w:t>30</w:t>
      </w:r>
      <w:r>
        <w:rPr>
          <w:rFonts w:hint="eastAsia" w:ascii="仿宋" w:hAnsi="仿宋" w:eastAsia="仿宋" w:cs="仿宋"/>
          <w:b w:val="0"/>
          <w:bCs w:val="0"/>
          <w:color w:val="2A2F35"/>
          <w:sz w:val="30"/>
          <w:szCs w:val="30"/>
          <w:highlight w:val="none"/>
        </w:rPr>
        <w:t>日</w:t>
      </w:r>
      <w:r>
        <w:rPr>
          <w:rFonts w:hint="eastAsia" w:ascii="仿宋" w:hAnsi="仿宋" w:eastAsia="仿宋" w:cs="仿宋"/>
          <w:b w:val="0"/>
          <w:bCs w:val="0"/>
          <w:color w:val="2A2F35"/>
          <w:sz w:val="30"/>
          <w:szCs w:val="30"/>
          <w:highlight w:val="none"/>
          <w:lang w:val="en-US" w:eastAsia="zh-CN"/>
        </w:rPr>
        <w:t>-12月4</w:t>
      </w:r>
      <w:r>
        <w:rPr>
          <w:rFonts w:hint="eastAsia" w:ascii="仿宋" w:hAnsi="仿宋" w:eastAsia="仿宋" w:cs="仿宋"/>
          <w:b w:val="0"/>
          <w:bCs w:val="0"/>
          <w:color w:val="2A2F35"/>
          <w:sz w:val="30"/>
          <w:szCs w:val="30"/>
          <w:highlight w:val="none"/>
        </w:rPr>
        <w:t>日</w:t>
      </w:r>
      <w:r>
        <w:rPr>
          <w:rFonts w:hint="eastAsia" w:ascii="仿宋" w:hAnsi="仿宋" w:eastAsia="仿宋" w:cs="仿宋"/>
          <w:b w:val="0"/>
          <w:bCs w:val="0"/>
          <w:color w:val="2A2F35"/>
          <w:sz w:val="30"/>
          <w:szCs w:val="30"/>
        </w:rPr>
        <w:t>，</w:t>
      </w:r>
      <w:r>
        <w:rPr>
          <w:rFonts w:hint="eastAsia" w:ascii="仿宋" w:hAnsi="仿宋" w:eastAsia="仿宋" w:cs="仿宋"/>
          <w:b w:val="0"/>
          <w:bCs w:val="0"/>
          <w:color w:val="2A2F35"/>
          <w:sz w:val="30"/>
          <w:szCs w:val="30"/>
          <w:lang w:val="en-US" w:eastAsia="zh-CN"/>
        </w:rPr>
        <w:t>2019级、</w:t>
      </w:r>
      <w:r>
        <w:rPr>
          <w:rFonts w:hint="eastAsia" w:ascii="仿宋" w:hAnsi="仿宋" w:eastAsia="仿宋" w:cs="仿宋"/>
          <w:b w:val="0"/>
          <w:bCs w:val="0"/>
          <w:color w:val="2A2F35"/>
          <w:sz w:val="30"/>
          <w:szCs w:val="30"/>
        </w:rPr>
        <w:t>20</w:t>
      </w:r>
      <w:r>
        <w:rPr>
          <w:rFonts w:hint="eastAsia" w:ascii="仿宋" w:hAnsi="仿宋" w:eastAsia="仿宋" w:cs="仿宋"/>
          <w:b w:val="0"/>
          <w:bCs w:val="0"/>
          <w:color w:val="2A2F35"/>
          <w:sz w:val="30"/>
          <w:szCs w:val="30"/>
          <w:lang w:val="en-US" w:eastAsia="zh-CN"/>
        </w:rPr>
        <w:t>20</w:t>
      </w:r>
      <w:r>
        <w:rPr>
          <w:rFonts w:hint="eastAsia" w:ascii="仿宋" w:hAnsi="仿宋" w:eastAsia="仿宋" w:cs="仿宋"/>
          <w:b w:val="0"/>
          <w:bCs w:val="0"/>
          <w:color w:val="2A2F35"/>
          <w:sz w:val="30"/>
          <w:szCs w:val="30"/>
        </w:rPr>
        <w:t>级学生本人提出申请并填写</w:t>
      </w:r>
      <w:r>
        <w:rPr>
          <w:rFonts w:hint="eastAsia" w:ascii="仿宋" w:hAnsi="仿宋" w:eastAsia="仿宋" w:cs="仿宋"/>
          <w:b w:val="0"/>
          <w:bCs w:val="0"/>
          <w:color w:val="2A2F35"/>
          <w:sz w:val="30"/>
          <w:szCs w:val="30"/>
          <w:lang w:eastAsia="zh-CN"/>
        </w:rPr>
        <w:t>《</w:t>
      </w:r>
      <w:r>
        <w:rPr>
          <w:rFonts w:hint="eastAsia" w:ascii="仿宋" w:hAnsi="仿宋" w:eastAsia="仿宋" w:cs="仿宋"/>
          <w:b w:val="0"/>
          <w:bCs w:val="0"/>
          <w:color w:val="2A2F35"/>
          <w:sz w:val="30"/>
          <w:szCs w:val="30"/>
          <w:lang w:val="en-US" w:eastAsia="zh-CN"/>
        </w:rPr>
        <w:t>贵州商学院转专业申请表》及相关证明材料，各二级学院收齐后统一交至尚信楼B103经济学院罗祥周老师处。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val="0"/>
          <w:bCs w:val="0"/>
          <w:color w:val="2A2F35"/>
          <w:sz w:val="30"/>
          <w:szCs w:val="30"/>
          <w:lang w:val="en-US" w:eastAsia="zh-CN"/>
        </w:rPr>
      </w:pPr>
      <w:r>
        <w:rPr>
          <w:rFonts w:hint="eastAsia" w:ascii="仿宋" w:hAnsi="仿宋" w:eastAsia="仿宋" w:cs="仿宋"/>
          <w:b w:val="0"/>
          <w:bCs w:val="0"/>
          <w:color w:val="2A2F35"/>
          <w:sz w:val="30"/>
          <w:szCs w:val="30"/>
          <w:lang w:val="en-US" w:eastAsia="zh-CN"/>
        </w:rPr>
        <w:t>2.12月8日-12月16日，经济学院根据本方案对提交来的转入申请及相关证明材料进行初审。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2A2F35"/>
          <w:sz w:val="30"/>
          <w:szCs w:val="30"/>
          <w:lang w:val="en-US" w:eastAsia="zh-CN"/>
        </w:rPr>
      </w:pPr>
      <w:r>
        <w:rPr>
          <w:rFonts w:hint="eastAsia" w:ascii="仿宋" w:hAnsi="仿宋" w:eastAsia="仿宋" w:cs="仿宋"/>
          <w:b w:val="0"/>
          <w:bCs w:val="0"/>
          <w:color w:val="2A2F35"/>
          <w:sz w:val="30"/>
          <w:szCs w:val="30"/>
          <w:lang w:val="en-US" w:eastAsia="zh-CN"/>
        </w:rPr>
        <w:t>3.12月17日，经济学院召开转专业工作小组会议，确定拟录取转专业学生名单。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2A2F35"/>
          <w:sz w:val="30"/>
          <w:szCs w:val="30"/>
          <w:lang w:val="en-US" w:eastAsia="zh-CN"/>
        </w:rPr>
      </w:pPr>
      <w:r>
        <w:rPr>
          <w:rFonts w:hint="eastAsia" w:ascii="仿宋" w:hAnsi="仿宋" w:eastAsia="仿宋" w:cs="仿宋"/>
          <w:b w:val="0"/>
          <w:bCs w:val="0"/>
          <w:color w:val="2A2F35"/>
          <w:sz w:val="30"/>
          <w:szCs w:val="30"/>
          <w:lang w:val="en-US" w:eastAsia="zh-CN"/>
        </w:rPr>
        <w:t>4.12月18日，经济学院将转专业相关党政联席会议纪要、拟录取转专业学生名单及其证明材料报送教务处。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323232"/>
          <w:sz w:val="30"/>
          <w:szCs w:val="30"/>
          <w:lang w:val="en-US" w:eastAsia="zh-CN"/>
        </w:rPr>
      </w:pPr>
      <w:r>
        <w:rPr>
          <w:rFonts w:hint="eastAsia" w:ascii="仿宋" w:hAnsi="仿宋" w:eastAsia="仿宋" w:cs="仿宋"/>
          <w:b w:val="0"/>
          <w:bCs w:val="0"/>
          <w:color w:val="323232"/>
          <w:sz w:val="30"/>
          <w:szCs w:val="30"/>
          <w:lang w:val="en-US" w:eastAsia="zh-CN"/>
        </w:rPr>
        <w:t>（三）录取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2A2F35"/>
          <w:sz w:val="30"/>
          <w:szCs w:val="30"/>
        </w:rPr>
      </w:pPr>
      <w:r>
        <w:rPr>
          <w:rFonts w:hint="eastAsia" w:ascii="仿宋" w:hAnsi="仿宋" w:eastAsia="仿宋" w:cs="仿宋"/>
          <w:b w:val="0"/>
          <w:bCs w:val="0"/>
          <w:color w:val="2A2F35"/>
          <w:sz w:val="30"/>
          <w:szCs w:val="30"/>
        </w:rPr>
        <w:t>教务处对拟申请转专业学生提出审核意见，经院长办公会审议通过后，公示转专业学生名单，公示期结束后，教务处下发正式转专业名单。学生凭转专业通知，于下学期开学二周内完成转专业相关手续，逾期取消转专业资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2A2F35"/>
          <w:sz w:val="30"/>
          <w:szCs w:val="30"/>
        </w:rPr>
      </w:pPr>
      <w:r>
        <w:rPr>
          <w:rFonts w:hint="eastAsia" w:ascii="仿宋" w:hAnsi="仿宋" w:eastAsia="仿宋" w:cs="仿宋"/>
          <w:b w:val="0"/>
          <w:bCs w:val="0"/>
          <w:color w:val="2A2F35"/>
          <w:sz w:val="30"/>
          <w:szCs w:val="30"/>
          <w:lang w:val="en-US" w:eastAsia="zh-CN"/>
        </w:rPr>
        <w:t>1.经济学院</w:t>
      </w:r>
      <w:r>
        <w:rPr>
          <w:rFonts w:hint="eastAsia" w:ascii="仿宋" w:hAnsi="仿宋" w:eastAsia="仿宋" w:cs="仿宋"/>
          <w:b w:val="0"/>
          <w:bCs w:val="0"/>
          <w:color w:val="2A2F35"/>
          <w:sz w:val="30"/>
          <w:szCs w:val="30"/>
        </w:rPr>
        <w:t>转专业</w:t>
      </w:r>
      <w:r>
        <w:rPr>
          <w:rFonts w:hint="eastAsia" w:ascii="仿宋" w:hAnsi="仿宋" w:eastAsia="仿宋" w:cs="仿宋"/>
          <w:b w:val="0"/>
          <w:bCs w:val="0"/>
          <w:color w:val="2A2F35"/>
          <w:sz w:val="30"/>
          <w:szCs w:val="30"/>
          <w:lang w:val="en-US" w:eastAsia="zh-CN"/>
        </w:rPr>
        <w:t>学生信息</w:t>
      </w:r>
      <w:r>
        <w:rPr>
          <w:rFonts w:hint="eastAsia" w:ascii="仿宋" w:hAnsi="仿宋" w:eastAsia="仿宋" w:cs="仿宋"/>
          <w:b w:val="0"/>
          <w:bCs w:val="0"/>
          <w:color w:val="2A2F35"/>
          <w:sz w:val="30"/>
          <w:szCs w:val="30"/>
        </w:rPr>
        <w:t>汇总表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2A2F35"/>
          <w:sz w:val="30"/>
          <w:szCs w:val="30"/>
        </w:rPr>
      </w:pPr>
      <w:r>
        <w:rPr>
          <w:rFonts w:hint="eastAsia" w:ascii="仿宋" w:hAnsi="仿宋" w:eastAsia="仿宋" w:cs="仿宋"/>
          <w:b w:val="0"/>
          <w:bCs w:val="0"/>
          <w:color w:val="2A2F35"/>
          <w:sz w:val="30"/>
          <w:szCs w:val="30"/>
          <w:lang w:val="en-US" w:eastAsia="zh-CN"/>
        </w:rPr>
        <w:t>2.经济学院</w:t>
      </w:r>
      <w:r>
        <w:rPr>
          <w:rFonts w:hint="eastAsia" w:ascii="仿宋" w:hAnsi="仿宋" w:eastAsia="仿宋" w:cs="仿宋"/>
          <w:b w:val="0"/>
          <w:bCs w:val="0"/>
          <w:color w:val="2A2F35"/>
          <w:sz w:val="30"/>
          <w:szCs w:val="30"/>
        </w:rPr>
        <w:t>转专业拟录取学生名单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color w:val="2A2F35"/>
          <w:sz w:val="30"/>
          <w:szCs w:val="30"/>
          <w:lang w:val="en-US" w:eastAsia="zh-CN"/>
        </w:rPr>
      </w:pPr>
      <w:r>
        <w:rPr>
          <w:rFonts w:hint="eastAsia" w:ascii="仿宋" w:hAnsi="仿宋" w:eastAsia="仿宋" w:cs="仿宋"/>
          <w:b w:val="0"/>
          <w:bCs w:val="0"/>
          <w:color w:val="2A2F35"/>
          <w:sz w:val="30"/>
          <w:szCs w:val="30"/>
          <w:lang w:val="en-US" w:eastAsia="zh-CN"/>
        </w:rPr>
        <w:t>3.经济学院转专业拟转出学生名单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经济</w:t>
      </w:r>
      <w:r>
        <w:rPr>
          <w:rFonts w:hint="eastAsia" w:ascii="仿宋" w:hAnsi="仿宋" w:eastAsia="仿宋" w:cs="仿宋"/>
          <w:sz w:val="30"/>
          <w:szCs w:val="30"/>
        </w:rPr>
        <w:t>学院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17</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rPr>
      </w:pPr>
    </w:p>
    <w:p>
      <w:pPr>
        <w:spacing w:line="360" w:lineRule="auto"/>
        <w:rPr>
          <w:rFonts w:hint="eastAsia" w:ascii="宋体" w:hAnsi="宋体" w:eastAsia="宋体" w:cs="宋体"/>
          <w:b/>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1</w:t>
      </w:r>
      <w:r>
        <w:rPr>
          <w:rFonts w:hint="eastAsia" w:ascii="宋体" w:hAnsi="宋体" w:eastAsia="宋体" w:cs="宋体"/>
          <w:b/>
          <w:sz w:val="28"/>
          <w:szCs w:val="28"/>
          <w:highlight w:val="none"/>
        </w:rPr>
        <w:t xml:space="preserve"> </w:t>
      </w:r>
    </w:p>
    <w:p>
      <w:pPr>
        <w:jc w:val="center"/>
        <w:rPr>
          <w:rFonts w:hint="eastAsia" w:ascii="黑体" w:hAnsi="黑体" w:eastAsia="黑体" w:cs="黑体"/>
          <w:b/>
          <w:sz w:val="36"/>
          <w:szCs w:val="36"/>
          <w:highlight w:val="none"/>
          <w:lang w:val="en-US" w:eastAsia="zh-CN"/>
        </w:rPr>
      </w:pPr>
      <w:r>
        <w:rPr>
          <w:rFonts w:hint="eastAsia" w:ascii="黑体" w:hAnsi="黑体" w:eastAsia="黑体" w:cs="黑体"/>
          <w:b/>
          <w:sz w:val="36"/>
          <w:szCs w:val="36"/>
          <w:highlight w:val="none"/>
          <w:lang w:val="en-US" w:eastAsia="zh-CN"/>
        </w:rPr>
        <w:t>经济学院转专业学生信息汇总表</w:t>
      </w:r>
    </w:p>
    <w:p>
      <w:pPr>
        <w:spacing w:line="360" w:lineRule="auto"/>
        <w:jc w:val="center"/>
        <w:rPr>
          <w:rFonts w:hint="eastAsia" w:ascii="宋体" w:hAnsi="宋体" w:eastAsia="宋体" w:cs="宋体"/>
          <w:b/>
          <w:sz w:val="28"/>
          <w:szCs w:val="28"/>
          <w:highlight w:val="none"/>
        </w:rPr>
      </w:pPr>
    </w:p>
    <w:tbl>
      <w:tblPr>
        <w:tblStyle w:val="4"/>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81"/>
        <w:gridCol w:w="1916"/>
        <w:gridCol w:w="1327"/>
        <w:gridCol w:w="1119"/>
        <w:gridCol w:w="1038"/>
        <w:gridCol w:w="1016"/>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98" w:type="dxa"/>
            <w:noWrap w:val="0"/>
            <w:vAlign w:val="center"/>
          </w:tcPr>
          <w:p>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881" w:type="dxa"/>
            <w:noWrap w:val="0"/>
            <w:vAlign w:val="center"/>
          </w:tcPr>
          <w:p>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姓名</w:t>
            </w:r>
          </w:p>
        </w:tc>
        <w:tc>
          <w:tcPr>
            <w:tcW w:w="1916" w:type="dxa"/>
            <w:noWrap w:val="0"/>
            <w:vAlign w:val="center"/>
          </w:tcPr>
          <w:p>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原专业及班级</w:t>
            </w:r>
          </w:p>
        </w:tc>
        <w:tc>
          <w:tcPr>
            <w:tcW w:w="1327" w:type="dxa"/>
            <w:noWrap w:val="0"/>
            <w:vAlign w:val="center"/>
          </w:tcPr>
          <w:p>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拟转入专业</w:t>
            </w:r>
          </w:p>
        </w:tc>
        <w:tc>
          <w:tcPr>
            <w:tcW w:w="1119" w:type="dxa"/>
            <w:noWrap w:val="0"/>
            <w:vAlign w:val="center"/>
          </w:tcPr>
          <w:p>
            <w:pPr>
              <w:jc w:val="center"/>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高考英语成绩</w:t>
            </w:r>
          </w:p>
        </w:tc>
        <w:tc>
          <w:tcPr>
            <w:tcW w:w="1038" w:type="dxa"/>
            <w:noWrap w:val="0"/>
            <w:vAlign w:val="center"/>
          </w:tcPr>
          <w:p>
            <w:pPr>
              <w:jc w:val="center"/>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高考数学成绩</w:t>
            </w:r>
          </w:p>
        </w:tc>
        <w:tc>
          <w:tcPr>
            <w:tcW w:w="1016" w:type="dxa"/>
            <w:noWrap w:val="0"/>
            <w:vAlign w:val="center"/>
          </w:tcPr>
          <w:p>
            <w:pPr>
              <w:jc w:val="center"/>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班级量化总分专业排名</w:t>
            </w:r>
          </w:p>
        </w:tc>
        <w:tc>
          <w:tcPr>
            <w:tcW w:w="1396" w:type="dxa"/>
            <w:noWrap w:val="0"/>
            <w:vAlign w:val="center"/>
          </w:tcPr>
          <w:p>
            <w:pPr>
              <w:jc w:val="center"/>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是否</w:t>
            </w:r>
            <w:r>
              <w:rPr>
                <w:rFonts w:hint="eastAsia" w:ascii="宋体" w:hAnsi="宋体" w:cs="宋体"/>
                <w:b/>
                <w:bCs/>
                <w:sz w:val="22"/>
                <w:szCs w:val="22"/>
                <w:highlight w:val="none"/>
                <w:lang w:val="en-US" w:eastAsia="zh-CN"/>
              </w:rPr>
              <w:t>有挂科课程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81" w:type="dxa"/>
            <w:noWrap w:val="0"/>
            <w:vAlign w:val="center"/>
          </w:tcPr>
          <w:p>
            <w:pPr>
              <w:widowControl/>
              <w:jc w:val="center"/>
              <w:rPr>
                <w:rFonts w:hint="eastAsia" w:ascii="宋体" w:hAnsi="宋体" w:eastAsia="宋体" w:cs="宋体"/>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center"/>
          </w:tcPr>
          <w:p>
            <w:pPr>
              <w:jc w:val="center"/>
              <w:rPr>
                <w:rFonts w:hint="eastAsia" w:ascii="宋体" w:hAnsi="宋体" w:eastAsia="宋体" w:cs="宋体"/>
                <w:sz w:val="24"/>
                <w:szCs w:val="24"/>
                <w:highlight w:val="none"/>
              </w:rPr>
            </w:pPr>
          </w:p>
        </w:tc>
        <w:tc>
          <w:tcPr>
            <w:tcW w:w="1038" w:type="dxa"/>
            <w:noWrap w:val="0"/>
            <w:vAlign w:val="center"/>
          </w:tcPr>
          <w:p>
            <w:pPr>
              <w:jc w:val="center"/>
              <w:rPr>
                <w:rFonts w:hint="eastAsia" w:ascii="宋体" w:hAnsi="宋体" w:eastAsia="宋体" w:cs="宋体"/>
                <w:sz w:val="24"/>
                <w:szCs w:val="24"/>
                <w:highlight w:val="none"/>
              </w:rPr>
            </w:pPr>
          </w:p>
        </w:tc>
        <w:tc>
          <w:tcPr>
            <w:tcW w:w="1016" w:type="dxa"/>
            <w:noWrap w:val="0"/>
            <w:vAlign w:val="center"/>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spacing w:line="240" w:lineRule="exact"/>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9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81" w:type="dxa"/>
            <w:noWrap w:val="0"/>
            <w:vAlign w:val="center"/>
          </w:tcPr>
          <w:p>
            <w:pPr>
              <w:widowControl/>
              <w:jc w:val="center"/>
              <w:rPr>
                <w:rFonts w:hint="eastAsia" w:ascii="宋体" w:hAnsi="宋体" w:eastAsia="宋体" w:cs="宋体"/>
                <w:color w:val="000000"/>
                <w:kern w:val="0"/>
                <w:sz w:val="24"/>
                <w:szCs w:val="24"/>
                <w:highlight w:val="none"/>
              </w:rPr>
            </w:pPr>
          </w:p>
        </w:tc>
        <w:tc>
          <w:tcPr>
            <w:tcW w:w="1916" w:type="dxa"/>
            <w:noWrap w:val="0"/>
            <w:vAlign w:val="center"/>
          </w:tcPr>
          <w:p>
            <w:pPr>
              <w:widowControl/>
              <w:jc w:val="center"/>
              <w:rPr>
                <w:rFonts w:hint="eastAsia" w:ascii="宋体" w:hAnsi="宋体" w:eastAsia="宋体" w:cs="宋体"/>
                <w:color w:val="000000"/>
                <w:kern w:val="0"/>
                <w:sz w:val="24"/>
                <w:szCs w:val="24"/>
                <w:highlight w:val="none"/>
              </w:rPr>
            </w:pPr>
          </w:p>
        </w:tc>
        <w:tc>
          <w:tcPr>
            <w:tcW w:w="1327" w:type="dxa"/>
            <w:noWrap w:val="0"/>
            <w:vAlign w:val="top"/>
          </w:tcPr>
          <w:p>
            <w:pPr>
              <w:jc w:val="center"/>
              <w:rPr>
                <w:rFonts w:hint="eastAsia" w:ascii="宋体" w:hAnsi="宋体" w:eastAsia="宋体" w:cs="宋体"/>
                <w:sz w:val="24"/>
                <w:szCs w:val="24"/>
                <w:highlight w:val="none"/>
              </w:rPr>
            </w:pPr>
          </w:p>
        </w:tc>
        <w:tc>
          <w:tcPr>
            <w:tcW w:w="1119" w:type="dxa"/>
            <w:noWrap w:val="0"/>
            <w:vAlign w:val="top"/>
          </w:tcPr>
          <w:p>
            <w:pPr>
              <w:jc w:val="center"/>
              <w:rPr>
                <w:rFonts w:hint="eastAsia" w:ascii="宋体" w:hAnsi="宋体" w:eastAsia="宋体" w:cs="宋体"/>
                <w:sz w:val="24"/>
                <w:szCs w:val="24"/>
                <w:highlight w:val="none"/>
              </w:rPr>
            </w:pPr>
          </w:p>
        </w:tc>
        <w:tc>
          <w:tcPr>
            <w:tcW w:w="1038" w:type="dxa"/>
            <w:noWrap w:val="0"/>
            <w:vAlign w:val="bottom"/>
          </w:tcPr>
          <w:p>
            <w:pPr>
              <w:jc w:val="center"/>
              <w:rPr>
                <w:rFonts w:hint="eastAsia" w:ascii="宋体" w:hAnsi="宋体" w:eastAsia="宋体" w:cs="宋体"/>
                <w:sz w:val="24"/>
                <w:szCs w:val="24"/>
                <w:highlight w:val="none"/>
              </w:rPr>
            </w:pPr>
          </w:p>
        </w:tc>
        <w:tc>
          <w:tcPr>
            <w:tcW w:w="1016" w:type="dxa"/>
            <w:noWrap w:val="0"/>
            <w:vAlign w:val="bottom"/>
          </w:tcPr>
          <w:p>
            <w:pPr>
              <w:jc w:val="center"/>
              <w:rPr>
                <w:rFonts w:hint="eastAsia" w:ascii="宋体" w:hAnsi="宋体" w:eastAsia="宋体" w:cs="宋体"/>
                <w:sz w:val="24"/>
                <w:szCs w:val="24"/>
                <w:highlight w:val="none"/>
              </w:rPr>
            </w:pPr>
          </w:p>
        </w:tc>
        <w:tc>
          <w:tcPr>
            <w:tcW w:w="1396" w:type="dxa"/>
            <w:noWrap w:val="0"/>
            <w:vAlign w:val="bottom"/>
          </w:tcPr>
          <w:p>
            <w:pPr>
              <w:jc w:val="center"/>
              <w:rPr>
                <w:rFonts w:hint="eastAsia" w:ascii="宋体" w:hAnsi="宋体" w:eastAsia="宋体" w:cs="宋体"/>
                <w:sz w:val="24"/>
                <w:szCs w:val="24"/>
                <w:highlight w:val="none"/>
              </w:rPr>
            </w:pPr>
          </w:p>
        </w:tc>
      </w:tr>
    </w:tbl>
    <w:p>
      <w:pPr>
        <w:spacing w:line="300" w:lineRule="auto"/>
        <w:rPr>
          <w:rFonts w:hint="eastAsia" w:ascii="宋体" w:hAnsi="宋体" w:eastAsia="宋体" w:cs="宋体"/>
          <w:sz w:val="28"/>
          <w:szCs w:val="28"/>
          <w:highlight w:val="none"/>
        </w:rPr>
      </w:pPr>
    </w:p>
    <w:p>
      <w:pPr>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（二级学院公章）                                        </w:t>
      </w:r>
    </w:p>
    <w:p>
      <w:pPr>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年    月     日</w:t>
      </w:r>
    </w:p>
    <w:p>
      <w:pPr>
        <w:spacing w:line="300" w:lineRule="auto"/>
        <w:jc w:val="right"/>
        <w:rPr>
          <w:rFonts w:hint="eastAsia" w:ascii="宋体" w:hAnsi="宋体" w:eastAsia="宋体" w:cs="宋体"/>
          <w:sz w:val="28"/>
          <w:szCs w:val="28"/>
          <w:highlight w:val="none"/>
        </w:rPr>
        <w:sectPr>
          <w:pgSz w:w="11906" w:h="16838"/>
          <w:pgMar w:top="1134" w:right="1797" w:bottom="1134" w:left="1797" w:header="851" w:footer="992" w:gutter="0"/>
          <w:cols w:space="720" w:num="1"/>
          <w:docGrid w:type="lines" w:linePitch="312" w:charSpace="0"/>
        </w:sectPr>
      </w:pPr>
      <w:r>
        <w:rPr>
          <w:rFonts w:hint="eastAsia" w:ascii="宋体" w:hAnsi="宋体" w:eastAsia="宋体" w:cs="宋体"/>
          <w:sz w:val="28"/>
          <w:szCs w:val="28"/>
          <w:highlight w:val="none"/>
        </w:rPr>
        <w:t xml:space="preserve"> </w:t>
      </w:r>
    </w:p>
    <w:p>
      <w:pPr>
        <w:rPr>
          <w:rFonts w:hint="eastAsia" w:ascii="宋体" w:hAnsi="宋体" w:eastAsia="宋体" w:cs="宋体"/>
          <w:b/>
          <w:sz w:val="28"/>
          <w:szCs w:val="28"/>
          <w:highlight w:val="none"/>
          <w:lang w:val="en-US"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2</w:t>
      </w:r>
    </w:p>
    <w:p>
      <w:pPr>
        <w:jc w:val="center"/>
        <w:rPr>
          <w:rFonts w:hint="eastAsia" w:ascii="黑体" w:hAnsi="黑体" w:eastAsia="黑体" w:cs="黑体"/>
          <w:b/>
          <w:sz w:val="36"/>
          <w:szCs w:val="36"/>
          <w:highlight w:val="none"/>
        </w:rPr>
      </w:pPr>
      <w:r>
        <w:rPr>
          <w:rFonts w:hint="eastAsia" w:ascii="黑体" w:hAnsi="黑体" w:eastAsia="黑体" w:cs="黑体"/>
          <w:b/>
          <w:sz w:val="36"/>
          <w:szCs w:val="36"/>
          <w:highlight w:val="none"/>
          <w:lang w:val="en-US" w:eastAsia="zh-CN"/>
        </w:rPr>
        <w:t>经济学院</w:t>
      </w:r>
      <w:r>
        <w:rPr>
          <w:rFonts w:hint="eastAsia" w:ascii="黑体" w:hAnsi="黑体" w:eastAsia="黑体" w:cs="黑体"/>
          <w:b/>
          <w:sz w:val="36"/>
          <w:szCs w:val="36"/>
          <w:highlight w:val="none"/>
        </w:rPr>
        <w:t>转专业拟录取学生名单</w:t>
      </w:r>
    </w:p>
    <w:p>
      <w:pPr>
        <w:jc w:val="center"/>
        <w:rPr>
          <w:rFonts w:hint="eastAsia" w:ascii="黑体" w:hAnsi="黑体" w:eastAsia="黑体" w:cs="黑体"/>
          <w:b/>
          <w:sz w:val="36"/>
          <w:szCs w:val="36"/>
          <w:highlight w:val="none"/>
        </w:rPr>
      </w:pPr>
    </w:p>
    <w:tbl>
      <w:tblPr>
        <w:tblStyle w:val="4"/>
        <w:tblpPr w:leftFromText="180" w:rightFromText="180" w:vertAnchor="text" w:horzAnchor="margin" w:tblpXSpec="center" w:tblpY="158"/>
        <w:tblW w:w="9747" w:type="dxa"/>
        <w:tblInd w:w="0" w:type="dxa"/>
        <w:tblLayout w:type="fixed"/>
        <w:tblCellMar>
          <w:top w:w="0" w:type="dxa"/>
          <w:left w:w="108" w:type="dxa"/>
          <w:bottom w:w="0" w:type="dxa"/>
          <w:right w:w="108" w:type="dxa"/>
        </w:tblCellMar>
      </w:tblPr>
      <w:tblGrid>
        <w:gridCol w:w="534"/>
        <w:gridCol w:w="1275"/>
        <w:gridCol w:w="1701"/>
        <w:gridCol w:w="1560"/>
        <w:gridCol w:w="1701"/>
        <w:gridCol w:w="1757"/>
        <w:gridCol w:w="1219"/>
      </w:tblGrid>
      <w:tr>
        <w:tblPrEx>
          <w:tblCellMar>
            <w:top w:w="0" w:type="dxa"/>
            <w:left w:w="108" w:type="dxa"/>
            <w:bottom w:w="0" w:type="dxa"/>
            <w:right w:w="108" w:type="dxa"/>
          </w:tblCellMar>
        </w:tblPrEx>
        <w:trPr>
          <w:trHeight w:val="27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学号</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原二级学院</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原专业</w:t>
            </w: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cs="宋体"/>
                <w:b/>
                <w:bCs/>
                <w:color w:val="000000"/>
                <w:kern w:val="0"/>
                <w:sz w:val="24"/>
                <w:szCs w:val="24"/>
                <w:highlight w:val="none"/>
                <w:lang w:val="en-US" w:eastAsia="zh-CN"/>
              </w:rPr>
              <w:t>拟</w:t>
            </w:r>
            <w:r>
              <w:rPr>
                <w:rFonts w:hint="eastAsia" w:ascii="宋体" w:hAnsi="宋体" w:eastAsia="宋体" w:cs="宋体"/>
                <w:b/>
                <w:bCs/>
                <w:color w:val="000000"/>
                <w:kern w:val="0"/>
                <w:sz w:val="24"/>
                <w:szCs w:val="24"/>
                <w:highlight w:val="none"/>
              </w:rPr>
              <w:t>转入专业</w:t>
            </w:r>
          </w:p>
        </w:tc>
        <w:tc>
          <w:tcPr>
            <w:tcW w:w="121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拟转入</w:t>
            </w:r>
          </w:p>
          <w:p>
            <w:pPr>
              <w:widowControl/>
              <w:jc w:val="center"/>
              <w:rPr>
                <w:rFonts w:hint="default" w:ascii="宋体" w:hAnsi="宋体" w:eastAsia="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班级</w:t>
            </w: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r>
    </w:tbl>
    <w:p>
      <w:pPr>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（二级学院公章）                                        </w:t>
      </w:r>
    </w:p>
    <w:p>
      <w:pPr>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年    月     日</w:t>
      </w:r>
    </w:p>
    <w:p>
      <w:pPr>
        <w:jc w:val="right"/>
        <w:rPr>
          <w:rFonts w:hint="eastAsia" w:ascii="宋体" w:hAnsi="宋体" w:eastAsia="宋体" w:cs="宋体"/>
          <w:b/>
          <w:sz w:val="28"/>
          <w:szCs w:val="28"/>
          <w:highlight w:val="none"/>
        </w:rPr>
      </w:pPr>
    </w:p>
    <w:p>
      <w:pPr>
        <w:jc w:val="right"/>
        <w:rPr>
          <w:rFonts w:hint="eastAsia" w:ascii="宋体" w:hAnsi="宋体" w:eastAsia="宋体" w:cs="宋体"/>
          <w:b/>
          <w:sz w:val="28"/>
          <w:szCs w:val="28"/>
          <w:highlight w:val="none"/>
        </w:rPr>
      </w:pPr>
    </w:p>
    <w:p>
      <w:pPr>
        <w:rPr>
          <w:rFonts w:hint="eastAsia" w:ascii="宋体" w:hAnsi="宋体" w:eastAsia="宋体" w:cs="宋体"/>
          <w:b/>
          <w:sz w:val="28"/>
          <w:szCs w:val="28"/>
          <w:highlight w:val="none"/>
          <w:lang w:val="en-US" w:eastAsia="zh-CN"/>
        </w:rPr>
      </w:pPr>
      <w:r>
        <w:rPr>
          <w:rFonts w:hint="eastAsia" w:ascii="宋体" w:hAnsi="宋体" w:eastAsia="宋体" w:cs="宋体"/>
          <w:sz w:val="28"/>
          <w:szCs w:val="28"/>
          <w:highlight w:val="none"/>
        </w:rPr>
        <w:t>附件</w:t>
      </w:r>
      <w:r>
        <w:rPr>
          <w:rFonts w:hint="eastAsia" w:ascii="宋体" w:hAnsi="宋体" w:cs="宋体"/>
          <w:sz w:val="28"/>
          <w:szCs w:val="28"/>
          <w:highlight w:val="none"/>
          <w:lang w:val="en-US" w:eastAsia="zh-CN"/>
        </w:rPr>
        <w:t>3</w:t>
      </w:r>
    </w:p>
    <w:p>
      <w:pPr>
        <w:jc w:val="center"/>
        <w:rPr>
          <w:rFonts w:hint="eastAsia" w:ascii="黑体" w:hAnsi="黑体" w:eastAsia="黑体" w:cs="黑体"/>
          <w:b/>
          <w:sz w:val="36"/>
          <w:szCs w:val="36"/>
          <w:highlight w:val="none"/>
          <w:lang w:val="en-US" w:eastAsia="zh-CN"/>
        </w:rPr>
      </w:pPr>
      <w:r>
        <w:rPr>
          <w:rFonts w:hint="eastAsia" w:ascii="黑体" w:hAnsi="黑体" w:eastAsia="黑体" w:cs="黑体"/>
          <w:b/>
          <w:sz w:val="36"/>
          <w:szCs w:val="36"/>
          <w:highlight w:val="none"/>
          <w:lang w:val="en-US" w:eastAsia="zh-CN"/>
        </w:rPr>
        <w:t>经济学院转专业拟转出学生名单</w:t>
      </w:r>
    </w:p>
    <w:p>
      <w:pPr>
        <w:jc w:val="center"/>
        <w:rPr>
          <w:rFonts w:hint="eastAsia" w:ascii="黑体" w:hAnsi="黑体" w:eastAsia="黑体" w:cs="黑体"/>
          <w:b/>
          <w:sz w:val="36"/>
          <w:szCs w:val="36"/>
          <w:highlight w:val="none"/>
          <w:lang w:val="en-US" w:eastAsia="zh-CN"/>
        </w:rPr>
      </w:pPr>
    </w:p>
    <w:tbl>
      <w:tblPr>
        <w:tblStyle w:val="4"/>
        <w:tblpPr w:leftFromText="180" w:rightFromText="180" w:vertAnchor="text" w:horzAnchor="margin" w:tblpXSpec="center" w:tblpY="158"/>
        <w:tblW w:w="10285" w:type="dxa"/>
        <w:tblInd w:w="0" w:type="dxa"/>
        <w:tblLayout w:type="fixed"/>
        <w:tblCellMar>
          <w:top w:w="0" w:type="dxa"/>
          <w:left w:w="108" w:type="dxa"/>
          <w:bottom w:w="0" w:type="dxa"/>
          <w:right w:w="108" w:type="dxa"/>
        </w:tblCellMar>
      </w:tblPr>
      <w:tblGrid>
        <w:gridCol w:w="534"/>
        <w:gridCol w:w="1275"/>
        <w:gridCol w:w="1701"/>
        <w:gridCol w:w="1560"/>
        <w:gridCol w:w="1701"/>
        <w:gridCol w:w="1757"/>
        <w:gridCol w:w="1757"/>
      </w:tblGrid>
      <w:tr>
        <w:tblPrEx>
          <w:tblCellMar>
            <w:top w:w="0" w:type="dxa"/>
            <w:left w:w="108" w:type="dxa"/>
            <w:bottom w:w="0" w:type="dxa"/>
            <w:right w:w="108" w:type="dxa"/>
          </w:tblCellMar>
        </w:tblPrEx>
        <w:trPr>
          <w:trHeight w:val="27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班级</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姓名</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学号</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原专业</w:t>
            </w: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拟转出学院</w:t>
            </w: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拟</w:t>
            </w:r>
            <w:r>
              <w:rPr>
                <w:rFonts w:hint="eastAsia" w:ascii="宋体" w:hAnsi="宋体" w:eastAsia="宋体" w:cs="宋体"/>
                <w:b/>
                <w:bCs/>
                <w:color w:val="000000"/>
                <w:kern w:val="0"/>
                <w:sz w:val="24"/>
                <w:szCs w:val="24"/>
                <w:highlight w:val="none"/>
              </w:rPr>
              <w:t>转</w:t>
            </w:r>
            <w:r>
              <w:rPr>
                <w:rFonts w:hint="eastAsia" w:ascii="宋体" w:hAnsi="宋体" w:cs="宋体"/>
                <w:b/>
                <w:bCs/>
                <w:color w:val="000000"/>
                <w:kern w:val="0"/>
                <w:sz w:val="24"/>
                <w:szCs w:val="24"/>
                <w:highlight w:val="none"/>
                <w:lang w:val="en-US" w:eastAsia="zh-CN"/>
              </w:rPr>
              <w:t>出</w:t>
            </w:r>
            <w:r>
              <w:rPr>
                <w:rFonts w:hint="eastAsia" w:ascii="宋体" w:hAnsi="宋体" w:eastAsia="宋体" w:cs="宋体"/>
                <w:b/>
                <w:bCs/>
                <w:color w:val="000000"/>
                <w:kern w:val="0"/>
                <w:sz w:val="24"/>
                <w:szCs w:val="24"/>
                <w:highlight w:val="none"/>
              </w:rPr>
              <w:t>专业</w:t>
            </w: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w:t>
            </w:r>
          </w:p>
        </w:tc>
        <w:tc>
          <w:tcPr>
            <w:tcW w:w="12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r>
        <w:tblPrEx>
          <w:tblCellMar>
            <w:top w:w="0" w:type="dxa"/>
            <w:left w:w="108" w:type="dxa"/>
            <w:bottom w:w="0" w:type="dxa"/>
            <w:right w:w="108" w:type="dxa"/>
          </w:tblCellMar>
        </w:tblPrEx>
        <w:trPr>
          <w:trHeight w:val="595" w:hRule="exac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highlight w:val="none"/>
              </w:rPr>
            </w:pPr>
          </w:p>
        </w:tc>
      </w:tr>
    </w:tbl>
    <w:p>
      <w:pPr>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（二级学院公章）                                        </w:t>
      </w:r>
    </w:p>
    <w:p>
      <w:pPr>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年    月     日</w:t>
      </w:r>
    </w:p>
    <w:p>
      <w:pPr>
        <w:rPr>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pStyle w:val="2"/>
        <w:bidi w:val="0"/>
        <w:rPr>
          <w:highlight w:val="none"/>
        </w:rPr>
      </w:pPr>
      <w:r>
        <w:rPr>
          <w:rFonts w:hint="eastAsia"/>
          <w:highlight w:val="none"/>
        </w:rPr>
        <w:t>贵州商学院旅游管理学院</w:t>
      </w:r>
    </w:p>
    <w:p>
      <w:pPr>
        <w:pStyle w:val="2"/>
        <w:bidi w:val="0"/>
        <w:rPr>
          <w:rFonts w:hint="eastAsia"/>
          <w:highlight w:val="none"/>
        </w:rPr>
      </w:pPr>
      <w:r>
        <w:rPr>
          <w:rFonts w:hint="eastAsia"/>
          <w:highlight w:val="none"/>
          <w:lang w:val="en-US" w:eastAsia="zh-CN"/>
        </w:rPr>
        <w:t>2020</w:t>
      </w:r>
      <w:r>
        <w:rPr>
          <w:rFonts w:hint="eastAsia"/>
          <w:highlight w:val="none"/>
          <w:lang w:eastAsia="zh-CN"/>
        </w:rPr>
        <w:t>—</w:t>
      </w:r>
      <w:r>
        <w:rPr>
          <w:rFonts w:hint="eastAsia"/>
          <w:highlight w:val="none"/>
        </w:rPr>
        <w:t>202</w:t>
      </w:r>
      <w:r>
        <w:rPr>
          <w:rFonts w:hint="eastAsia"/>
          <w:highlight w:val="none"/>
          <w:lang w:val="en-US" w:eastAsia="zh-CN"/>
        </w:rPr>
        <w:t>1</w:t>
      </w:r>
      <w:r>
        <w:rPr>
          <w:rFonts w:hint="eastAsia"/>
          <w:highlight w:val="none"/>
        </w:rPr>
        <w:t>学年第</w:t>
      </w:r>
      <w:r>
        <w:rPr>
          <w:rFonts w:hint="eastAsia"/>
          <w:highlight w:val="none"/>
          <w:lang w:val="en-US" w:eastAsia="zh-CN"/>
        </w:rPr>
        <w:t>1</w:t>
      </w:r>
      <w:r>
        <w:rPr>
          <w:rFonts w:hint="eastAsia"/>
          <w:highlight w:val="none"/>
        </w:rPr>
        <w:t>学期学生转专业考核办法</w:t>
      </w:r>
    </w:p>
    <w:p>
      <w:pPr>
        <w:tabs>
          <w:tab w:val="left" w:pos="1260"/>
        </w:tabs>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根据《贵州商学院学生转专业管理细则（修订）》的文件精神，结合旅游管理学院各专业实际情况，现制定旅游管理学院</w:t>
      </w:r>
      <w:r>
        <w:rPr>
          <w:rFonts w:hint="eastAsia" w:ascii="仿宋" w:hAnsi="仿宋" w:eastAsia="仿宋" w:cs="仿宋"/>
          <w:color w:val="000000"/>
          <w:sz w:val="28"/>
          <w:szCs w:val="28"/>
          <w:lang w:val="en-US" w:eastAsia="zh-CN"/>
        </w:rPr>
        <w:t>2020</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学年第1学期接收转专业考核办法。</w:t>
      </w:r>
    </w:p>
    <w:p>
      <w:pPr>
        <w:tabs>
          <w:tab w:val="left" w:pos="1260"/>
        </w:tabs>
        <w:spacing w:line="360" w:lineRule="auto"/>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第一条 旅游管理学院转专业工作小组</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组长：姜玮、韩军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成员：毛宗清、罗意、刘霏阳、龚雅莉、霭菲、吴信值、付琳（兼秘书）</w:t>
      </w:r>
    </w:p>
    <w:p>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 xml:space="preserve">    第二条 接收专业、接收名额及条件</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我院</w:t>
      </w:r>
      <w:r>
        <w:rPr>
          <w:rFonts w:hint="eastAsia" w:ascii="仿宋" w:hAnsi="仿宋" w:eastAsia="仿宋" w:cs="仿宋"/>
          <w:color w:val="000000"/>
          <w:sz w:val="28"/>
          <w:szCs w:val="28"/>
          <w:lang w:val="en-US" w:eastAsia="zh-CN"/>
        </w:rPr>
        <w:t>2020-2021</w:t>
      </w:r>
      <w:r>
        <w:rPr>
          <w:rFonts w:hint="eastAsia" w:ascii="仿宋" w:hAnsi="仿宋" w:eastAsia="仿宋" w:cs="仿宋"/>
          <w:color w:val="000000"/>
          <w:sz w:val="28"/>
          <w:szCs w:val="28"/>
        </w:rPr>
        <w:t>学年第1学期可接收转专业的专业有：20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级会展经济与管理、20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级酒店管理</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2020级旅游管理</w:t>
      </w:r>
      <w:r>
        <w:rPr>
          <w:rFonts w:hint="eastAsia" w:ascii="仿宋" w:hAnsi="仿宋" w:eastAsia="仿宋" w:cs="仿宋"/>
          <w:color w:val="000000"/>
          <w:sz w:val="28"/>
          <w:szCs w:val="28"/>
        </w:rPr>
        <w:t>。</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（一）2019级学生</w:t>
      </w:r>
    </w:p>
    <w:p>
      <w:pPr>
        <w:ind w:firstLine="560" w:firstLineChars="200"/>
        <w:rPr>
          <w:rFonts w:hint="eastAsia" w:ascii="仿宋" w:hAnsi="仿宋" w:eastAsia="仿宋" w:cs="仿宋"/>
          <w:color w:val="000000"/>
          <w:sz w:val="28"/>
          <w:szCs w:val="28"/>
          <w:lang w:eastAsia="zh-CN"/>
        </w:rPr>
      </w:pPr>
      <w:r>
        <w:rPr>
          <w:rFonts w:hint="eastAsia" w:ascii="仿宋" w:hAnsi="仿宋" w:eastAsia="仿宋" w:cs="仿宋"/>
          <w:sz w:val="28"/>
          <w:szCs w:val="28"/>
          <w:lang w:val="en-US" w:eastAsia="zh-CN"/>
        </w:rPr>
        <w:t>2019级学生在校期间</w:t>
      </w:r>
      <w:r>
        <w:rPr>
          <w:rFonts w:hint="eastAsia" w:ascii="仿宋" w:hAnsi="仿宋" w:eastAsia="仿宋" w:cs="仿宋"/>
          <w:color w:val="000000"/>
          <w:sz w:val="28"/>
          <w:szCs w:val="28"/>
        </w:rPr>
        <w:t>无警告及以上处分，课程补考不超过1门，且补考科目成绩及格</w:t>
      </w:r>
      <w:r>
        <w:rPr>
          <w:rFonts w:hint="eastAsia" w:ascii="仿宋" w:hAnsi="仿宋" w:eastAsia="仿宋" w:cs="仿宋"/>
          <w:color w:val="000000"/>
          <w:sz w:val="28"/>
          <w:szCs w:val="28"/>
          <w:lang w:eastAsia="zh-CN"/>
        </w:rPr>
        <w:t>，</w:t>
      </w:r>
      <w:r>
        <w:rPr>
          <w:rFonts w:hint="eastAsia" w:ascii="仿宋" w:hAnsi="仿宋" w:eastAsia="仿宋" w:cs="仿宋"/>
          <w:sz w:val="28"/>
          <w:szCs w:val="28"/>
          <w:lang w:val="en-US" w:eastAsia="zh-CN"/>
        </w:rPr>
        <w:t>请提供成绩卡证明（盖章）。</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2020级学生</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2020级学生除符合学校规定的转专业条件外，还需满足以下条件：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会展经济与管理专业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接收10人。接收条件：20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级学生在校期间无警告及以上处分。</w:t>
      </w:r>
    </w:p>
    <w:p>
      <w:pPr>
        <w:numPr>
          <w:ilvl w:val="0"/>
          <w:numId w:val="0"/>
        </w:num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酒店管理专业</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接收10人。接收条件：20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级学生在校期间无警告及以上处分。</w:t>
      </w:r>
    </w:p>
    <w:p>
      <w:pPr>
        <w:numPr>
          <w:ilvl w:val="0"/>
          <w:numId w:val="0"/>
        </w:num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3.旅游管理专业</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接收10人。接收条件：20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级学生在校期间无警告及以上处分。</w:t>
      </w:r>
    </w:p>
    <w:p>
      <w:pPr>
        <w:spacing w:line="360" w:lineRule="auto"/>
        <w:ind w:firstLine="562" w:firstLineChars="200"/>
        <w:jc w:val="left"/>
        <w:rPr>
          <w:rFonts w:ascii="仿宋" w:hAnsi="仿宋" w:eastAsia="仿宋" w:cs="仿宋"/>
          <w:color w:val="000000"/>
          <w:sz w:val="28"/>
          <w:szCs w:val="28"/>
        </w:rPr>
      </w:pPr>
      <w:r>
        <w:rPr>
          <w:rFonts w:hint="eastAsia" w:ascii="仿宋" w:hAnsi="仿宋" w:eastAsia="仿宋" w:cs="仿宋"/>
          <w:b/>
          <w:color w:val="000000"/>
          <w:sz w:val="28"/>
          <w:szCs w:val="28"/>
        </w:rPr>
        <w:t>第三条 考核地点及时间安排</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时间：</w:t>
      </w:r>
      <w:r>
        <w:rPr>
          <w:rFonts w:hint="eastAsia" w:ascii="仿宋" w:hAnsi="仿宋" w:eastAsia="仿宋" w:cs="仿宋"/>
          <w:sz w:val="28"/>
          <w:szCs w:val="28"/>
          <w:lang w:val="en-US" w:eastAsia="zh-CN"/>
        </w:rPr>
        <w:t>待定</w:t>
      </w:r>
      <w:r>
        <w:rPr>
          <w:rFonts w:hint="eastAsia" w:ascii="仿宋" w:hAnsi="仿宋" w:eastAsia="仿宋" w:cs="仿宋"/>
          <w:sz w:val="28"/>
          <w:szCs w:val="28"/>
        </w:rPr>
        <w:t>，具体时间另行通知</w:t>
      </w:r>
    </w:p>
    <w:p>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地点：2A31</w:t>
      </w:r>
      <w:r>
        <w:rPr>
          <w:rFonts w:hint="eastAsia" w:ascii="仿宋" w:hAnsi="仿宋" w:eastAsia="仿宋" w:cs="仿宋"/>
          <w:color w:val="000000"/>
          <w:sz w:val="28"/>
          <w:szCs w:val="28"/>
          <w:lang w:val="en-US" w:eastAsia="zh-CN"/>
        </w:rPr>
        <w:t>3</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第四条 考核办法</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（一）面试</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达到接收条件的学生均可报名参加面试，面试分成会展经济与管理、酒店管理和旅游管理三个组。</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面试顺序：按照申请转专业的入围名单顺序，依次进入考场面试，其他考生在面试考场外等候。</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面试内容：包括语言表达（自我介绍表述能力、沟通能力、表达方式的恰当性）、基础知识（逻辑思维是否清晰、表达是否流畅、对知识的掌握程度）和专业综合知识（对转入专业的了解和认知程度、个人专业见解）三个部分，分别占比20%、30%、50%。</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面试时间：</w:t>
      </w:r>
      <w:r>
        <w:rPr>
          <w:rFonts w:hint="eastAsia" w:ascii="仿宋" w:hAnsi="仿宋" w:eastAsia="仿宋" w:cs="仿宋"/>
          <w:sz w:val="28"/>
          <w:szCs w:val="28"/>
          <w:lang w:val="en-US" w:eastAsia="zh-CN"/>
        </w:rPr>
        <w:t>待定</w:t>
      </w:r>
      <w:r>
        <w:rPr>
          <w:rFonts w:hint="eastAsia" w:ascii="仿宋" w:hAnsi="仿宋" w:eastAsia="仿宋" w:cs="仿宋"/>
          <w:sz w:val="28"/>
          <w:szCs w:val="28"/>
        </w:rPr>
        <w:t>，具体时间另行通知</w:t>
      </w:r>
      <w:r>
        <w:rPr>
          <w:rFonts w:hint="eastAsia" w:ascii="仿宋" w:hAnsi="仿宋" w:eastAsia="仿宋" w:cs="仿宋"/>
          <w:color w:val="000000"/>
          <w:sz w:val="28"/>
          <w:szCs w:val="28"/>
        </w:rPr>
        <w:t>。每位考生面试时间限定在20分钟之内，凡未按时参加面试者视为自动放弃。</w:t>
      </w:r>
    </w:p>
    <w:p>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面试地点：2A31</w:t>
      </w:r>
      <w:r>
        <w:rPr>
          <w:rFonts w:hint="eastAsia" w:ascii="仿宋" w:hAnsi="仿宋" w:eastAsia="仿宋" w:cs="仿宋"/>
          <w:color w:val="000000"/>
          <w:sz w:val="28"/>
          <w:szCs w:val="28"/>
          <w:lang w:val="en-US" w:eastAsia="zh-CN"/>
        </w:rPr>
        <w:t>3</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面试要求：（1）面试小组负责面试材料的准备及面试的组织工作；（2）每位考官根据考生的面试综合表现客观公正评分，并在评分表上签字；（3）面试结束后，所有考核材料面试组秘书汇总整理并存档。</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（二）录取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根据考生的面试成绩，结合旅游管理学院拟接收的转专业名额，成绩由高到低排序，若成绩相同并超出录取名额时，由考核小组根据综合表现投票决定最后一名录取人选，确定最终拟录取名单，考核组成员集体签名后提交教务处予以公示。公示结束后报学院审批，</w:t>
      </w:r>
      <w:r>
        <w:rPr>
          <w:rFonts w:hint="eastAsia" w:ascii="仿宋" w:hAnsi="仿宋" w:eastAsia="仿宋" w:cs="仿宋"/>
          <w:color w:val="000000"/>
          <w:sz w:val="28"/>
          <w:szCs w:val="28"/>
          <w:lang w:val="en-US" w:eastAsia="zh-CN"/>
        </w:rPr>
        <w:t>审批后</w:t>
      </w:r>
      <w:r>
        <w:rPr>
          <w:rFonts w:hint="eastAsia" w:ascii="仿宋" w:hAnsi="仿宋" w:eastAsia="仿宋" w:cs="仿宋"/>
          <w:color w:val="000000"/>
          <w:sz w:val="28"/>
          <w:szCs w:val="28"/>
        </w:rPr>
        <w:t>公布正式批准的转专业学生名单，发放《贵州商学院普通高等教育学生转专业报到注册单》，办理相关手续。</w:t>
      </w:r>
    </w:p>
    <w:p>
      <w:pPr>
        <w:spacing w:line="360" w:lineRule="auto"/>
        <w:rPr>
          <w:rFonts w:ascii="仿宋" w:hAnsi="仿宋" w:eastAsia="仿宋" w:cs="仿宋"/>
          <w:color w:val="000000"/>
          <w:sz w:val="28"/>
          <w:szCs w:val="28"/>
        </w:rPr>
      </w:pPr>
    </w:p>
    <w:p>
      <w:pPr>
        <w:spacing w:line="360" w:lineRule="auto"/>
        <w:ind w:firstLine="560" w:firstLineChars="20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旅游管理学院</w:t>
      </w:r>
    </w:p>
    <w:p>
      <w:pPr>
        <w:spacing w:line="360" w:lineRule="auto"/>
        <w:ind w:firstLine="560" w:firstLineChars="200"/>
        <w:jc w:val="right"/>
        <w:rPr>
          <w:rFonts w:ascii="仿宋" w:hAnsi="仿宋" w:eastAsia="仿宋" w:cs="仿宋"/>
          <w:color w:val="000000"/>
          <w:sz w:val="28"/>
          <w:szCs w:val="28"/>
        </w:rPr>
      </w:pPr>
      <w:r>
        <w:rPr>
          <w:rFonts w:hint="eastAsia" w:ascii="仿宋" w:hAnsi="仿宋" w:eastAsia="仿宋" w:cs="仿宋"/>
          <w:color w:val="000000"/>
          <w:sz w:val="28"/>
          <w:szCs w:val="28"/>
        </w:rPr>
        <w:t>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w:t>
      </w:r>
    </w:p>
    <w:p>
      <w:pPr>
        <w:spacing w:line="360" w:lineRule="auto"/>
        <w:jc w:val="left"/>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1.</w:t>
      </w:r>
      <w:r>
        <w:rPr>
          <w:rFonts w:hint="eastAsia" w:ascii="仿宋" w:hAnsi="仿宋" w:eastAsia="仿宋" w:cs="仿宋"/>
          <w:color w:val="000000"/>
          <w:sz w:val="28"/>
          <w:szCs w:val="28"/>
        </w:rPr>
        <w:t>“旅游管理学院xx专业”转专业面试评分表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2.</w:t>
      </w:r>
      <w:r>
        <w:rPr>
          <w:rFonts w:hint="eastAsia" w:ascii="仿宋" w:hAnsi="仿宋" w:eastAsia="仿宋" w:cs="仿宋"/>
          <w:color w:val="000000"/>
          <w:sz w:val="28"/>
          <w:szCs w:val="28"/>
        </w:rPr>
        <w:t>“旅游管理学院xx专业”转专业考核成绩汇总表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eastAsia="zh-CN"/>
        </w:rPr>
        <w:t>3.</w:t>
      </w:r>
      <w:r>
        <w:rPr>
          <w:rFonts w:hint="eastAsia" w:ascii="仿宋" w:hAnsi="仿宋" w:eastAsia="仿宋" w:cs="仿宋"/>
          <w:color w:val="000000"/>
          <w:sz w:val="28"/>
          <w:szCs w:val="28"/>
        </w:rPr>
        <w:t>“旅游管理学院 xx专业”转专业考核成绩汇总表</w:t>
      </w:r>
    </w:p>
    <w:p>
      <w:pPr>
        <w:spacing w:line="360" w:lineRule="auto"/>
        <w:jc w:val="left"/>
        <w:rPr>
          <w:rFonts w:ascii="仿宋" w:hAnsi="仿宋" w:eastAsia="仿宋" w:cs="仿宋"/>
          <w:color w:val="000000"/>
          <w:sz w:val="28"/>
          <w:szCs w:val="28"/>
        </w:rPr>
        <w:sectPr>
          <w:pgSz w:w="11906" w:h="16838"/>
          <w:pgMar w:top="1134" w:right="1797" w:bottom="1134" w:left="1797" w:header="851" w:footer="992" w:gutter="0"/>
          <w:cols w:space="720" w:num="1"/>
          <w:docGrid w:type="lines" w:linePitch="312" w:charSpace="0"/>
        </w:sectPr>
      </w:pPr>
    </w:p>
    <w:p>
      <w:pPr>
        <w:spacing w:before="78" w:after="78" w:line="360" w:lineRule="auto"/>
        <w:jc w:val="left"/>
        <w:rPr>
          <w:rFonts w:ascii="宋体" w:hAnsi="宋体" w:eastAsia="宋体" w:cs="宋体"/>
          <w:b/>
          <w:color w:val="000000"/>
          <w:sz w:val="24"/>
        </w:rPr>
      </w:pPr>
      <w:r>
        <w:rPr>
          <w:rFonts w:hint="eastAsia" w:ascii="宋体" w:hAnsi="宋体" w:eastAsia="宋体" w:cs="宋体"/>
          <w:color w:val="000000"/>
          <w:sz w:val="24"/>
        </w:rPr>
        <w:t>附件1</w:t>
      </w:r>
    </w:p>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“旅游管理学院        专业”转专业面试评分表</w:t>
      </w:r>
    </w:p>
    <w:tbl>
      <w:tblPr>
        <w:tblStyle w:val="4"/>
        <w:tblpPr w:leftFromText="180" w:rightFromText="180" w:vertAnchor="page" w:horzAnchor="page" w:tblpX="2010" w:tblpY="290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730"/>
        <w:gridCol w:w="148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姓  名</w:t>
            </w:r>
          </w:p>
        </w:tc>
        <w:tc>
          <w:tcPr>
            <w:tcW w:w="273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原专业</w:t>
            </w:r>
          </w:p>
        </w:tc>
        <w:tc>
          <w:tcPr>
            <w:tcW w:w="3560" w:type="dxa"/>
            <w:gridSpan w:val="2"/>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拟转入专业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40" w:type="dxa"/>
            <w:noWrap/>
            <w:vAlign w:val="center"/>
          </w:tcPr>
          <w:p>
            <w:pPr>
              <w:spacing w:before="78" w:after="78" w:line="360" w:lineRule="auto"/>
              <w:jc w:val="center"/>
              <w:rPr>
                <w:rFonts w:ascii="宋体" w:hAnsi="宋体" w:eastAsia="宋体" w:cs="宋体"/>
                <w:color w:val="000000"/>
                <w:sz w:val="24"/>
              </w:rPr>
            </w:pPr>
          </w:p>
        </w:tc>
        <w:tc>
          <w:tcPr>
            <w:tcW w:w="2730" w:type="dxa"/>
            <w:noWrap/>
            <w:vAlign w:val="center"/>
          </w:tcPr>
          <w:p>
            <w:pPr>
              <w:spacing w:before="78" w:after="78" w:line="360" w:lineRule="auto"/>
              <w:jc w:val="center"/>
              <w:rPr>
                <w:rFonts w:ascii="宋体" w:hAnsi="宋体" w:eastAsia="宋体" w:cs="宋体"/>
                <w:color w:val="000000"/>
                <w:sz w:val="24"/>
              </w:rPr>
            </w:pPr>
          </w:p>
        </w:tc>
        <w:tc>
          <w:tcPr>
            <w:tcW w:w="3560" w:type="dxa"/>
            <w:gridSpan w:val="2"/>
            <w:noWrap/>
            <w:vAlign w:val="center"/>
          </w:tcPr>
          <w:p>
            <w:pPr>
              <w:spacing w:before="78" w:after="78"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知识与能力</w:t>
            </w:r>
          </w:p>
        </w:tc>
        <w:tc>
          <w:tcPr>
            <w:tcW w:w="4215" w:type="dxa"/>
            <w:gridSpan w:val="2"/>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考核点</w:t>
            </w:r>
          </w:p>
        </w:tc>
        <w:tc>
          <w:tcPr>
            <w:tcW w:w="2075"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表达能力</w:t>
            </w:r>
          </w:p>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（20分）</w:t>
            </w:r>
          </w:p>
        </w:tc>
        <w:tc>
          <w:tcPr>
            <w:tcW w:w="4215" w:type="dxa"/>
            <w:gridSpan w:val="2"/>
            <w:noWrap/>
            <w:vAlign w:val="center"/>
          </w:tcPr>
          <w:p>
            <w:pPr>
              <w:spacing w:before="78" w:after="78" w:line="360" w:lineRule="auto"/>
              <w:jc w:val="center"/>
              <w:rPr>
                <w:rFonts w:ascii="宋体" w:hAnsi="宋体" w:eastAsia="宋体" w:cs="宋体"/>
                <w:color w:val="000000"/>
                <w:sz w:val="24"/>
              </w:rPr>
            </w:pPr>
            <w:r>
              <w:rPr>
                <w:rFonts w:hint="eastAsia" w:ascii="宋体" w:hAnsi="宋体" w:eastAsia="宋体" w:cs="宋体"/>
                <w:color w:val="000000"/>
                <w:sz w:val="24"/>
              </w:rPr>
              <w:t>自我介绍表述能力、沟通能力、表达方式的恰当性。</w:t>
            </w:r>
          </w:p>
        </w:tc>
        <w:tc>
          <w:tcPr>
            <w:tcW w:w="2075" w:type="dxa"/>
            <w:noWrap/>
            <w:vAlign w:val="center"/>
          </w:tcPr>
          <w:p>
            <w:pPr>
              <w:spacing w:before="78" w:after="78"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基础知识</w:t>
            </w:r>
          </w:p>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（30分）</w:t>
            </w:r>
          </w:p>
        </w:tc>
        <w:tc>
          <w:tcPr>
            <w:tcW w:w="4215" w:type="dxa"/>
            <w:gridSpan w:val="2"/>
            <w:noWrap/>
            <w:vAlign w:val="center"/>
          </w:tcPr>
          <w:p>
            <w:pPr>
              <w:spacing w:before="78" w:after="78" w:line="360" w:lineRule="auto"/>
              <w:jc w:val="center"/>
              <w:rPr>
                <w:rFonts w:ascii="宋体" w:hAnsi="宋体" w:eastAsia="宋体" w:cs="宋体"/>
                <w:color w:val="000000"/>
                <w:sz w:val="24"/>
              </w:rPr>
            </w:pPr>
            <w:r>
              <w:rPr>
                <w:rFonts w:hint="eastAsia" w:ascii="宋体" w:hAnsi="宋体" w:eastAsia="宋体" w:cs="宋体"/>
                <w:color w:val="000000"/>
                <w:sz w:val="24"/>
              </w:rPr>
              <w:t>逻辑思维是否清晰、表达是否流畅、对知识的掌握程度。</w:t>
            </w:r>
          </w:p>
        </w:tc>
        <w:tc>
          <w:tcPr>
            <w:tcW w:w="2075" w:type="dxa"/>
            <w:noWrap/>
            <w:vAlign w:val="center"/>
          </w:tcPr>
          <w:p>
            <w:pPr>
              <w:spacing w:before="78" w:after="78"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综合知识</w:t>
            </w:r>
          </w:p>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（50分）</w:t>
            </w:r>
          </w:p>
        </w:tc>
        <w:tc>
          <w:tcPr>
            <w:tcW w:w="4215" w:type="dxa"/>
            <w:gridSpan w:val="2"/>
            <w:noWrap/>
            <w:vAlign w:val="center"/>
          </w:tcPr>
          <w:p>
            <w:pPr>
              <w:spacing w:before="78" w:after="78" w:line="360" w:lineRule="auto"/>
              <w:jc w:val="center"/>
              <w:rPr>
                <w:rFonts w:ascii="宋体" w:hAnsi="宋体" w:eastAsia="宋体" w:cs="宋体"/>
                <w:color w:val="000000"/>
                <w:sz w:val="24"/>
              </w:rPr>
            </w:pPr>
            <w:r>
              <w:rPr>
                <w:rFonts w:hint="eastAsia" w:ascii="宋体" w:hAnsi="宋体" w:eastAsia="宋体" w:cs="宋体"/>
                <w:color w:val="000000"/>
                <w:sz w:val="24"/>
              </w:rPr>
              <w:t>对转入专业的了解和认识程度、个人专业见解。</w:t>
            </w:r>
          </w:p>
        </w:tc>
        <w:tc>
          <w:tcPr>
            <w:tcW w:w="2075" w:type="dxa"/>
            <w:noWrap/>
            <w:vAlign w:val="center"/>
          </w:tcPr>
          <w:p>
            <w:pPr>
              <w:spacing w:before="78" w:after="78"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040" w:type="dxa"/>
            <w:noWrap/>
            <w:vAlign w:val="center"/>
          </w:tcPr>
          <w:p>
            <w:pPr>
              <w:spacing w:before="78" w:after="78" w:line="360" w:lineRule="auto"/>
              <w:jc w:val="center"/>
              <w:rPr>
                <w:rFonts w:ascii="宋体" w:hAnsi="宋体" w:eastAsia="宋体" w:cs="宋体"/>
                <w:b/>
                <w:color w:val="000000"/>
                <w:sz w:val="24"/>
              </w:rPr>
            </w:pPr>
            <w:r>
              <w:rPr>
                <w:rFonts w:hint="eastAsia" w:ascii="宋体" w:hAnsi="宋体" w:eastAsia="宋体" w:cs="宋体"/>
                <w:b/>
                <w:color w:val="000000"/>
                <w:sz w:val="24"/>
              </w:rPr>
              <w:t>合计（100分）</w:t>
            </w:r>
          </w:p>
        </w:tc>
        <w:tc>
          <w:tcPr>
            <w:tcW w:w="6290" w:type="dxa"/>
            <w:gridSpan w:val="3"/>
            <w:noWrap/>
            <w:vAlign w:val="center"/>
          </w:tcPr>
          <w:p>
            <w:pPr>
              <w:spacing w:before="78" w:after="78" w:line="360" w:lineRule="auto"/>
              <w:jc w:val="center"/>
              <w:rPr>
                <w:rFonts w:ascii="宋体" w:hAnsi="宋体" w:eastAsia="宋体" w:cs="宋体"/>
                <w:color w:val="000000"/>
                <w:sz w:val="24"/>
              </w:rPr>
            </w:pPr>
          </w:p>
        </w:tc>
      </w:tr>
    </w:tbl>
    <w:p>
      <w:pPr>
        <w:spacing w:before="78" w:after="78" w:line="360" w:lineRule="auto"/>
        <w:ind w:right="640" w:firstLine="3523" w:firstLineChars="1462"/>
        <w:jc w:val="center"/>
        <w:rPr>
          <w:rFonts w:ascii="宋体" w:hAnsi="宋体" w:eastAsia="宋体" w:cs="宋体"/>
          <w:b/>
          <w:color w:val="000000"/>
          <w:sz w:val="24"/>
        </w:rPr>
      </w:pPr>
    </w:p>
    <w:p>
      <w:pPr>
        <w:spacing w:before="78" w:after="78" w:line="360" w:lineRule="auto"/>
        <w:ind w:right="640"/>
        <w:jc w:val="center"/>
        <w:rPr>
          <w:rFonts w:ascii="宋体" w:hAnsi="宋体" w:eastAsia="宋体" w:cs="宋体"/>
          <w:b/>
          <w:color w:val="000000"/>
          <w:sz w:val="24"/>
        </w:rPr>
      </w:pPr>
      <w:r>
        <w:rPr>
          <w:rFonts w:hint="eastAsia" w:ascii="宋体" w:hAnsi="宋体" w:eastAsia="宋体" w:cs="宋体"/>
          <w:b/>
          <w:color w:val="000000"/>
          <w:sz w:val="24"/>
        </w:rPr>
        <w:t>评委签字：</w:t>
      </w:r>
    </w:p>
    <w:p>
      <w:pPr>
        <w:spacing w:before="78" w:after="78" w:line="360" w:lineRule="auto"/>
        <w:ind w:right="640"/>
        <w:jc w:val="right"/>
        <w:rPr>
          <w:rFonts w:ascii="宋体" w:hAnsi="宋体" w:eastAsia="宋体" w:cs="宋体"/>
          <w:color w:val="000000"/>
          <w:sz w:val="24"/>
        </w:rPr>
        <w:sectPr>
          <w:pgSz w:w="11906" w:h="16838"/>
          <w:pgMar w:top="1134" w:right="1797" w:bottom="1134" w:left="1797" w:header="851" w:footer="992" w:gutter="0"/>
          <w:cols w:space="720" w:num="1"/>
          <w:docGrid w:type="lines" w:linePitch="312" w:charSpace="0"/>
        </w:sectPr>
      </w:pPr>
      <w:r>
        <w:rPr>
          <w:rFonts w:hint="eastAsia" w:ascii="宋体" w:hAnsi="宋体" w:eastAsia="宋体" w:cs="宋体"/>
          <w:b/>
          <w:color w:val="000000"/>
          <w:sz w:val="24"/>
        </w:rPr>
        <w:t>时    间：20</w:t>
      </w:r>
      <w:r>
        <w:rPr>
          <w:rFonts w:hint="eastAsia" w:ascii="宋体" w:hAnsi="宋体" w:eastAsia="宋体" w:cs="宋体"/>
          <w:b/>
          <w:color w:val="000000"/>
          <w:sz w:val="24"/>
          <w:lang w:val="en-US" w:eastAsia="zh-CN"/>
        </w:rPr>
        <w:t>20</w:t>
      </w:r>
      <w:r>
        <w:rPr>
          <w:rFonts w:hint="eastAsia" w:ascii="宋体" w:hAnsi="宋体" w:eastAsia="宋体" w:cs="宋体"/>
          <w:color w:val="000000"/>
          <w:sz w:val="24"/>
        </w:rPr>
        <w:t>年  月  日</w:t>
      </w:r>
    </w:p>
    <w:p>
      <w:pPr>
        <w:spacing w:line="360" w:lineRule="auto"/>
        <w:jc w:val="left"/>
        <w:rPr>
          <w:rFonts w:ascii="宋体" w:hAnsi="宋体" w:eastAsia="宋体" w:cs="宋体"/>
          <w:b/>
          <w:color w:val="000000"/>
          <w:sz w:val="24"/>
        </w:rPr>
      </w:pPr>
      <w:r>
        <w:rPr>
          <w:rFonts w:hint="eastAsia" w:ascii="宋体" w:hAnsi="宋体" w:eastAsia="宋体" w:cs="宋体"/>
          <w:color w:val="000000"/>
          <w:sz w:val="24"/>
        </w:rPr>
        <w:t>附件2</w:t>
      </w:r>
    </w:p>
    <w:p>
      <w:pPr>
        <w:spacing w:line="360" w:lineRule="auto"/>
        <w:jc w:val="center"/>
        <w:rPr>
          <w:rFonts w:ascii="宋体" w:hAnsi="宋体" w:eastAsia="宋体" w:cs="宋体"/>
          <w:color w:val="000000"/>
          <w:sz w:val="24"/>
        </w:rPr>
      </w:pPr>
      <w:r>
        <w:rPr>
          <w:rFonts w:hint="eastAsia" w:ascii="宋体" w:hAnsi="宋体" w:eastAsia="宋体" w:cs="宋体"/>
          <w:b/>
          <w:color w:val="000000"/>
          <w:sz w:val="24"/>
        </w:rPr>
        <w:t>“旅游管理学院       专业”转专业考核成绩汇总表</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80"/>
        <w:gridCol w:w="1855"/>
        <w:gridCol w:w="2163"/>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68"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序号</w:t>
            </w:r>
          </w:p>
        </w:tc>
        <w:tc>
          <w:tcPr>
            <w:tcW w:w="1580"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姓名</w:t>
            </w:r>
          </w:p>
        </w:tc>
        <w:tc>
          <w:tcPr>
            <w:tcW w:w="1855"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原专业</w:t>
            </w:r>
          </w:p>
        </w:tc>
        <w:tc>
          <w:tcPr>
            <w:tcW w:w="2163"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面试成绩</w:t>
            </w:r>
          </w:p>
          <w:p>
            <w:pPr>
              <w:spacing w:line="360" w:lineRule="auto"/>
              <w:jc w:val="center"/>
              <w:rPr>
                <w:rFonts w:ascii="宋体" w:hAnsi="宋体" w:eastAsia="宋体" w:cs="宋体"/>
                <w:color w:val="000000"/>
                <w:sz w:val="24"/>
              </w:rPr>
            </w:pPr>
            <w:r>
              <w:rPr>
                <w:rFonts w:hint="eastAsia" w:ascii="宋体" w:hAnsi="宋体" w:eastAsia="宋体" w:cs="宋体"/>
                <w:color w:val="000000"/>
                <w:sz w:val="24"/>
              </w:rPr>
              <w:t>（100%）</w:t>
            </w:r>
          </w:p>
        </w:tc>
        <w:tc>
          <w:tcPr>
            <w:tcW w:w="2162" w:type="dxa"/>
            <w:noWrap/>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总成绩</w:t>
            </w:r>
          </w:p>
          <w:p>
            <w:pPr>
              <w:spacing w:line="360" w:lineRule="auto"/>
              <w:jc w:val="center"/>
              <w:rPr>
                <w:rFonts w:ascii="宋体" w:hAnsi="宋体" w:eastAsia="宋体" w:cs="宋体"/>
                <w:color w:val="000000"/>
                <w:sz w:val="24"/>
              </w:rPr>
            </w:pPr>
            <w:r>
              <w:rPr>
                <w:rFonts w:hint="eastAsia" w:ascii="宋体" w:hAnsi="宋体" w:eastAsia="宋体" w:cs="宋体"/>
                <w:color w:val="000000"/>
                <w:sz w:val="24"/>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2</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3</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4</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5</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6</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7</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8</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9</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10</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11</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12</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13</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14</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15</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16</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17</w:t>
            </w:r>
          </w:p>
        </w:tc>
        <w:tc>
          <w:tcPr>
            <w:tcW w:w="1580" w:type="dxa"/>
            <w:noWrap/>
            <w:vAlign w:val="center"/>
          </w:tcPr>
          <w:p>
            <w:pPr>
              <w:widowControl/>
              <w:spacing w:line="360" w:lineRule="auto"/>
              <w:jc w:val="center"/>
              <w:rPr>
                <w:rFonts w:ascii="宋体" w:hAnsi="宋体" w:eastAsia="宋体" w:cs="宋体"/>
                <w:color w:val="000000"/>
                <w:kern w:val="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18</w:t>
            </w:r>
          </w:p>
        </w:tc>
        <w:tc>
          <w:tcPr>
            <w:tcW w:w="1580" w:type="dxa"/>
            <w:noWrap/>
            <w:vAlign w:val="center"/>
          </w:tcPr>
          <w:p>
            <w:pPr>
              <w:spacing w:line="360" w:lineRule="auto"/>
              <w:jc w:val="center"/>
              <w:rPr>
                <w:rFonts w:ascii="宋体" w:hAnsi="宋体" w:eastAsia="宋体" w:cs="宋体"/>
                <w:color w:val="00000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8" w:type="dxa"/>
            <w:noWrap/>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19</w:t>
            </w:r>
          </w:p>
        </w:tc>
        <w:tc>
          <w:tcPr>
            <w:tcW w:w="1580" w:type="dxa"/>
            <w:noWrap/>
            <w:vAlign w:val="center"/>
          </w:tcPr>
          <w:p>
            <w:pPr>
              <w:spacing w:line="360" w:lineRule="auto"/>
              <w:jc w:val="center"/>
              <w:rPr>
                <w:rFonts w:ascii="宋体" w:hAnsi="宋体" w:eastAsia="宋体" w:cs="宋体"/>
                <w:color w:val="000000"/>
                <w:sz w:val="24"/>
              </w:rPr>
            </w:pPr>
          </w:p>
        </w:tc>
        <w:tc>
          <w:tcPr>
            <w:tcW w:w="1855" w:type="dxa"/>
            <w:noWrap/>
            <w:vAlign w:val="center"/>
          </w:tcPr>
          <w:p>
            <w:pPr>
              <w:widowControl/>
              <w:spacing w:line="360" w:lineRule="auto"/>
              <w:jc w:val="center"/>
              <w:rPr>
                <w:rFonts w:ascii="宋体" w:hAnsi="宋体" w:eastAsia="宋体" w:cs="宋体"/>
                <w:color w:val="000000"/>
                <w:kern w:val="0"/>
                <w:sz w:val="24"/>
              </w:rPr>
            </w:pPr>
          </w:p>
        </w:tc>
        <w:tc>
          <w:tcPr>
            <w:tcW w:w="2163" w:type="dxa"/>
            <w:noWrap/>
            <w:vAlign w:val="bottom"/>
          </w:tcPr>
          <w:p>
            <w:pPr>
              <w:spacing w:line="360" w:lineRule="auto"/>
              <w:jc w:val="center"/>
              <w:rPr>
                <w:rFonts w:ascii="宋体" w:hAnsi="宋体" w:eastAsia="宋体" w:cs="宋体"/>
                <w:color w:val="000000"/>
                <w:sz w:val="24"/>
              </w:rPr>
            </w:pPr>
          </w:p>
        </w:tc>
        <w:tc>
          <w:tcPr>
            <w:tcW w:w="2162" w:type="dxa"/>
            <w:noWrap/>
            <w:vAlign w:val="bottom"/>
          </w:tcPr>
          <w:p>
            <w:pPr>
              <w:spacing w:line="360" w:lineRule="auto"/>
              <w:jc w:val="center"/>
              <w:rPr>
                <w:rFonts w:ascii="宋体" w:hAnsi="宋体" w:eastAsia="宋体" w:cs="宋体"/>
                <w:color w:val="000000"/>
                <w:sz w:val="24"/>
              </w:rPr>
            </w:pPr>
          </w:p>
        </w:tc>
      </w:tr>
    </w:tbl>
    <w:p>
      <w:pPr>
        <w:spacing w:line="360" w:lineRule="auto"/>
        <w:ind w:firstLine="4320" w:firstLineChars="1800"/>
        <w:rPr>
          <w:rFonts w:ascii="宋体" w:hAnsi="宋体" w:eastAsia="宋体" w:cs="宋体"/>
          <w:color w:val="000000"/>
          <w:sz w:val="24"/>
        </w:rPr>
      </w:pPr>
    </w:p>
    <w:p>
      <w:pPr>
        <w:spacing w:line="360" w:lineRule="auto"/>
        <w:rPr>
          <w:rFonts w:ascii="宋体" w:hAnsi="宋体" w:eastAsia="宋体" w:cs="宋体"/>
          <w:color w:val="000000"/>
          <w:sz w:val="24"/>
        </w:rPr>
      </w:pPr>
      <w:r>
        <w:rPr>
          <w:rFonts w:hint="eastAsia" w:ascii="宋体" w:hAnsi="宋体" w:eastAsia="宋体" w:cs="宋体"/>
          <w:color w:val="000000"/>
          <w:sz w:val="24"/>
        </w:rPr>
        <w:t>转专业工作小组签字：</w:t>
      </w:r>
    </w:p>
    <w:p>
      <w:pPr>
        <w:spacing w:line="360" w:lineRule="auto"/>
        <w:jc w:val="center"/>
        <w:rPr>
          <w:rFonts w:ascii="宋体" w:hAnsi="宋体" w:eastAsia="宋体" w:cs="宋体"/>
          <w:color w:val="000000"/>
          <w:sz w:val="24"/>
        </w:rPr>
      </w:pPr>
    </w:p>
    <w:p>
      <w:pPr>
        <w:spacing w:line="360" w:lineRule="auto"/>
        <w:jc w:val="center"/>
        <w:rPr>
          <w:rFonts w:ascii="宋体" w:hAnsi="宋体" w:eastAsia="宋体" w:cs="宋体"/>
          <w:color w:val="000000"/>
          <w:sz w:val="24"/>
        </w:rPr>
      </w:pPr>
    </w:p>
    <w:p>
      <w:pPr>
        <w:spacing w:line="360" w:lineRule="auto"/>
        <w:jc w:val="right"/>
        <w:rPr>
          <w:rFonts w:hint="eastAsia" w:ascii="宋体" w:hAnsi="宋体" w:eastAsia="宋体" w:cs="宋体"/>
          <w:color w:val="000000"/>
          <w:sz w:val="24"/>
        </w:rPr>
      </w:pPr>
      <w:r>
        <w:rPr>
          <w:rFonts w:hint="eastAsia" w:ascii="宋体" w:hAnsi="宋体" w:eastAsia="宋体" w:cs="宋体"/>
          <w:color w:val="000000"/>
          <w:sz w:val="24"/>
        </w:rPr>
        <w:t>旅游管理学院（公章）</w:t>
      </w:r>
    </w:p>
    <w:p>
      <w:pPr>
        <w:spacing w:line="360" w:lineRule="auto"/>
        <w:jc w:val="center"/>
        <w:rPr>
          <w:rFonts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日</w:t>
      </w:r>
    </w:p>
    <w:p>
      <w:pPr>
        <w:spacing w:before="78" w:after="78" w:line="360" w:lineRule="auto"/>
        <w:ind w:right="640"/>
        <w:jc w:val="center"/>
        <w:rPr>
          <w:rFonts w:ascii="宋体" w:hAnsi="宋体" w:eastAsia="宋体" w:cs="宋体"/>
          <w:color w:val="000000"/>
          <w:sz w:val="24"/>
        </w:rPr>
        <w:sectPr>
          <w:pgSz w:w="11906" w:h="16838"/>
          <w:pgMar w:top="1134" w:right="1797" w:bottom="1134" w:left="1797" w:header="851" w:footer="992" w:gutter="0"/>
          <w:cols w:space="720" w:num="1"/>
          <w:docGrid w:type="lines" w:linePitch="312" w:charSpace="0"/>
        </w:sectPr>
      </w:pPr>
    </w:p>
    <w:p>
      <w:pPr>
        <w:spacing w:line="360" w:lineRule="auto"/>
        <w:jc w:val="left"/>
        <w:rPr>
          <w:rFonts w:ascii="宋体" w:hAnsi="宋体" w:eastAsia="宋体" w:cs="宋体"/>
          <w:b/>
          <w:color w:val="000000"/>
          <w:sz w:val="24"/>
        </w:rPr>
      </w:pPr>
      <w:r>
        <w:rPr>
          <w:rFonts w:hint="eastAsia" w:ascii="宋体" w:hAnsi="宋体" w:eastAsia="宋体" w:cs="宋体"/>
          <w:color w:val="000000"/>
          <w:sz w:val="24"/>
        </w:rPr>
        <w:t>附件3</w:t>
      </w:r>
    </w:p>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“旅游管理学院       专业”转专业拟录取学生名单</w:t>
      </w:r>
    </w:p>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（二级学院公章）</w:t>
      </w:r>
    </w:p>
    <w:tbl>
      <w:tblPr>
        <w:tblStyle w:val="4"/>
        <w:tblpPr w:leftFromText="180" w:rightFromText="180" w:vertAnchor="text" w:horzAnchor="margin" w:tblpXSpec="center" w:tblpY="158"/>
        <w:tblW w:w="8528" w:type="dxa"/>
        <w:tblInd w:w="0" w:type="dxa"/>
        <w:tblLayout w:type="fixed"/>
        <w:tblCellMar>
          <w:top w:w="0" w:type="dxa"/>
          <w:left w:w="108" w:type="dxa"/>
          <w:bottom w:w="0" w:type="dxa"/>
          <w:right w:w="108" w:type="dxa"/>
        </w:tblCellMar>
      </w:tblPr>
      <w:tblGrid>
        <w:gridCol w:w="718"/>
        <w:gridCol w:w="1324"/>
        <w:gridCol w:w="1676"/>
        <w:gridCol w:w="1905"/>
        <w:gridCol w:w="1905"/>
        <w:gridCol w:w="1000"/>
      </w:tblGrid>
      <w:tr>
        <w:tblPrEx>
          <w:tblCellMar>
            <w:top w:w="0" w:type="dxa"/>
            <w:left w:w="108" w:type="dxa"/>
            <w:bottom w:w="0" w:type="dxa"/>
            <w:right w:w="108" w:type="dxa"/>
          </w:tblCellMar>
        </w:tblPrEx>
        <w:trPr>
          <w:trHeight w:val="270" w:hRule="atLeast"/>
        </w:trPr>
        <w:tc>
          <w:tcPr>
            <w:tcW w:w="71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姓名</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学号</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原二级学院</w:t>
            </w:r>
          </w:p>
        </w:tc>
        <w:tc>
          <w:tcPr>
            <w:tcW w:w="190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原专业</w:t>
            </w:r>
          </w:p>
        </w:tc>
        <w:tc>
          <w:tcPr>
            <w:tcW w:w="100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考核</w:t>
            </w:r>
          </w:p>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排名</w:t>
            </w: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1324"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595" w:hRule="exact"/>
        </w:trPr>
        <w:tc>
          <w:tcPr>
            <w:tcW w:w="71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16</w:t>
            </w:r>
          </w:p>
        </w:tc>
        <w:tc>
          <w:tcPr>
            <w:tcW w:w="13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p>
        </w:tc>
      </w:tr>
    </w:tbl>
    <w:p>
      <w:pPr>
        <w:spacing w:line="360" w:lineRule="auto"/>
        <w:ind w:firstLine="480" w:firstLineChars="200"/>
        <w:jc w:val="center"/>
        <w:rPr>
          <w:rFonts w:ascii="宋体" w:hAnsi="宋体" w:eastAsia="宋体" w:cs="宋体"/>
          <w:color w:val="000000"/>
          <w:sz w:val="24"/>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pStyle w:val="2"/>
        <w:bidi w:val="0"/>
        <w:rPr>
          <w:rFonts w:hint="eastAsia"/>
          <w:highlight w:val="none"/>
        </w:rPr>
      </w:pPr>
      <w:r>
        <w:rPr>
          <w:rFonts w:hint="eastAsia"/>
          <w:highlight w:val="none"/>
        </w:rPr>
        <w:t>贵州商学院文化与艺术传媒学院</w:t>
      </w:r>
    </w:p>
    <w:p>
      <w:pPr>
        <w:pStyle w:val="2"/>
        <w:bidi w:val="0"/>
        <w:rPr>
          <w:rFonts w:hint="eastAsia"/>
          <w:highlight w:val="none"/>
        </w:rPr>
      </w:pPr>
      <w:r>
        <w:rPr>
          <w:rFonts w:hint="eastAsia"/>
          <w:highlight w:val="none"/>
          <w:lang w:val="en-US" w:eastAsia="zh-CN"/>
        </w:rPr>
        <w:t>2020</w:t>
      </w:r>
      <w:r>
        <w:rPr>
          <w:rFonts w:hint="eastAsia"/>
          <w:highlight w:val="none"/>
          <w:lang w:eastAsia="zh-CN"/>
        </w:rPr>
        <w:t>—</w:t>
      </w:r>
      <w:r>
        <w:rPr>
          <w:rFonts w:hint="eastAsia"/>
          <w:highlight w:val="none"/>
        </w:rPr>
        <w:t>202</w:t>
      </w:r>
      <w:r>
        <w:rPr>
          <w:rFonts w:hint="eastAsia"/>
          <w:highlight w:val="none"/>
          <w:lang w:val="en-US" w:eastAsia="zh-CN"/>
        </w:rPr>
        <w:t>1</w:t>
      </w:r>
      <w:r>
        <w:rPr>
          <w:rFonts w:hint="eastAsia"/>
          <w:highlight w:val="none"/>
        </w:rPr>
        <w:t>学年第</w:t>
      </w:r>
      <w:r>
        <w:rPr>
          <w:rFonts w:hint="eastAsia"/>
          <w:highlight w:val="none"/>
          <w:lang w:val="en-US" w:eastAsia="zh-CN"/>
        </w:rPr>
        <w:t>1</w:t>
      </w:r>
      <w:r>
        <w:rPr>
          <w:rFonts w:hint="eastAsia"/>
          <w:highlight w:val="none"/>
        </w:rPr>
        <w:t>学期学生转专业考核办法</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为确保</w:t>
      </w:r>
      <w:r>
        <w:rPr>
          <w:rFonts w:hint="eastAsia" w:ascii="仿宋" w:hAnsi="仿宋" w:eastAsia="仿宋" w:cs="仿宋"/>
          <w:color w:val="auto"/>
          <w:sz w:val="28"/>
          <w:szCs w:val="28"/>
          <w:lang w:eastAsia="zh-CN"/>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eastAsia="zh-CN"/>
        </w:rPr>
        <w:t>-20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lang w:eastAsia="zh-CN"/>
        </w:rPr>
        <w:t>学年第</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学期</w:t>
      </w:r>
      <w:r>
        <w:rPr>
          <w:rFonts w:hint="eastAsia" w:ascii="仿宋" w:hAnsi="仿宋" w:eastAsia="仿宋" w:cs="仿宋"/>
          <w:color w:val="auto"/>
          <w:sz w:val="28"/>
          <w:szCs w:val="28"/>
        </w:rPr>
        <w:t>本专科学生转专业工作的顺利进行,根据教育部《普通高等学校学生管理规定》和《贵州商学院学生管理规定（修订）》、《贵州商学院学生转专业管理细则（暂行）》的文件精神和相关规定，现制定文化与艺术传媒学院</w:t>
      </w:r>
      <w:r>
        <w:rPr>
          <w:rFonts w:hint="eastAsia" w:ascii="仿宋" w:hAnsi="仿宋" w:eastAsia="仿宋" w:cs="仿宋"/>
          <w:color w:val="auto"/>
          <w:sz w:val="28"/>
          <w:szCs w:val="28"/>
          <w:lang w:eastAsia="zh-CN"/>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eastAsia="zh-CN"/>
        </w:rPr>
        <w:t>-20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lang w:eastAsia="zh-CN"/>
        </w:rPr>
        <w:t>学年第</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学期</w:t>
      </w:r>
      <w:r>
        <w:rPr>
          <w:rFonts w:hint="eastAsia" w:ascii="仿宋" w:hAnsi="仿宋" w:eastAsia="仿宋" w:cs="仿宋"/>
          <w:color w:val="auto"/>
          <w:sz w:val="28"/>
          <w:szCs w:val="28"/>
        </w:rPr>
        <w:t>本专科学生转专业实施方案。</w:t>
      </w:r>
    </w:p>
    <w:p>
      <w:p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第一条 成立文传学院转专业工作小组</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组长：王建山 </w:t>
      </w:r>
      <w:r>
        <w:rPr>
          <w:rFonts w:hint="eastAsia" w:ascii="仿宋" w:hAnsi="仿宋" w:eastAsia="仿宋" w:cs="仿宋"/>
          <w:color w:val="auto"/>
          <w:sz w:val="28"/>
          <w:szCs w:val="28"/>
          <w:lang w:val="en-US" w:eastAsia="zh-CN"/>
        </w:rPr>
        <w:t>赵伦进</w:t>
      </w:r>
    </w:p>
    <w:p>
      <w:pPr>
        <w:ind w:left="1441" w:leftChars="286" w:hanging="840" w:hangingChars="300"/>
        <w:rPr>
          <w:rFonts w:hint="eastAsia" w:ascii="仿宋" w:hAnsi="仿宋" w:eastAsia="仿宋" w:cs="仿宋"/>
          <w:color w:val="auto"/>
          <w:sz w:val="28"/>
          <w:szCs w:val="28"/>
        </w:rPr>
      </w:pPr>
      <w:r>
        <w:rPr>
          <w:rFonts w:hint="eastAsia" w:ascii="仿宋" w:hAnsi="仿宋" w:eastAsia="仿宋" w:cs="仿宋"/>
          <w:color w:val="auto"/>
          <w:sz w:val="28"/>
          <w:szCs w:val="28"/>
        </w:rPr>
        <w:t>成员: 蒋  英 李 燕 张思思 安 静 王 中 龙 杰 李温喜 刘尚志（教科办主任）</w:t>
      </w:r>
    </w:p>
    <w:p>
      <w:pPr>
        <w:numPr>
          <w:ilvl w:val="0"/>
          <w:numId w:val="6"/>
        </w:num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接收专业、接收名额及条件</w:t>
      </w:r>
    </w:p>
    <w:p>
      <w:pPr>
        <w:numPr>
          <w:ilvl w:val="0"/>
          <w:numId w:val="7"/>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接收专业：视觉传达设计（本科）、</w:t>
      </w:r>
      <w:r>
        <w:rPr>
          <w:rFonts w:hint="eastAsia" w:ascii="仿宋" w:hAnsi="仿宋" w:eastAsia="仿宋" w:cs="仿宋"/>
          <w:color w:val="auto"/>
          <w:sz w:val="28"/>
          <w:szCs w:val="28"/>
          <w:lang w:val="en-US" w:eastAsia="zh-CN"/>
        </w:rPr>
        <w:t>环境设计（本科）、艺术管理（本科）</w:t>
      </w:r>
      <w:r>
        <w:rPr>
          <w:rFonts w:hint="eastAsia" w:ascii="仿宋" w:hAnsi="仿宋" w:eastAsia="仿宋" w:cs="仿宋"/>
          <w:color w:val="auto"/>
          <w:sz w:val="28"/>
          <w:szCs w:val="28"/>
        </w:rPr>
        <w:t>。</w:t>
      </w:r>
    </w:p>
    <w:p>
      <w:pPr>
        <w:numPr>
          <w:ilvl w:val="0"/>
          <w:numId w:val="7"/>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接收名额：每个专业均可接收转专业学生</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人</w:t>
      </w:r>
      <w:r>
        <w:rPr>
          <w:rFonts w:hint="eastAsia" w:ascii="仿宋" w:hAnsi="仿宋" w:eastAsia="仿宋" w:cs="仿宋"/>
          <w:color w:val="auto"/>
          <w:sz w:val="28"/>
          <w:szCs w:val="28"/>
          <w:lang w:eastAsia="zh-CN"/>
        </w:rPr>
        <w:t>。</w:t>
      </w:r>
    </w:p>
    <w:p>
      <w:pPr>
        <w:numPr>
          <w:ilvl w:val="0"/>
          <w:numId w:val="7"/>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接收条件：申请转入文传学院各专业学习的学生，需符合《贵州商学院学生转专业管理细则（修订）》中第二章转专业条件和原则的规定和条件；申请转入文传学院各专业学习的学生必须是贵州商学院20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级在校学生，在校期间各方面表现良好，无违纪行为及受处分情况；学生在转入之前应取得相应公共基础课程与通识教育课程的学分；</w:t>
      </w:r>
    </w:p>
    <w:p>
      <w:pPr>
        <w:numPr>
          <w:ilvl w:val="0"/>
          <w:numId w:val="7"/>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办理程序：按照贵州商学院规定的转专业时间结点和程序，学生填写转专业申请表递交文传学院教科办，待批准后方可正式转入、转出，转入学生的学籍档案由带班辅导员负责接收。</w:t>
      </w:r>
    </w:p>
    <w:p>
      <w:pPr>
        <w:numPr>
          <w:ilvl w:val="0"/>
          <w:numId w:val="7"/>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办理时间：20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日，有意愿申请转专业且符合申请条件的学生应根据文传学院公布的“贵州商学院文化与艺术传媒学院20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年本专科学生转专业实施方案”相关信息，向文传学院提出转专业书面申请（《贵州商学院学生转专业申请表》）。申请表提交文传学院教科办刘尚志老师处（</w:t>
      </w:r>
      <w:r>
        <w:rPr>
          <w:rFonts w:hint="eastAsia" w:ascii="仿宋" w:hAnsi="仿宋" w:eastAsia="仿宋" w:cs="仿宋"/>
          <w:color w:val="auto"/>
          <w:sz w:val="28"/>
          <w:szCs w:val="28"/>
          <w:lang w:val="en-US" w:eastAsia="zh-CN"/>
        </w:rPr>
        <w:t>尚智楼3B112</w:t>
      </w:r>
      <w:r>
        <w:rPr>
          <w:rFonts w:hint="eastAsia" w:ascii="仿宋" w:hAnsi="仿宋" w:eastAsia="仿宋" w:cs="仿宋"/>
          <w:color w:val="auto"/>
          <w:sz w:val="28"/>
          <w:szCs w:val="28"/>
        </w:rPr>
        <w:t>）。</w:t>
      </w:r>
    </w:p>
    <w:p>
      <w:pPr>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第三条 考核时间及时间安排</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测试时间：初定于</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日期间</w:t>
      </w:r>
    </w:p>
    <w:p>
      <w:pPr>
        <w:ind w:firstLine="600"/>
        <w:rPr>
          <w:rFonts w:hint="eastAsia" w:ascii="仿宋" w:hAnsi="仿宋" w:eastAsia="仿宋" w:cs="仿宋"/>
          <w:color w:val="auto"/>
          <w:sz w:val="28"/>
          <w:szCs w:val="28"/>
        </w:rPr>
      </w:pPr>
      <w:r>
        <w:rPr>
          <w:rFonts w:hint="eastAsia" w:ascii="仿宋" w:hAnsi="仿宋" w:eastAsia="仿宋" w:cs="仿宋"/>
          <w:color w:val="auto"/>
          <w:sz w:val="28"/>
          <w:szCs w:val="28"/>
        </w:rPr>
        <w:t>考试地点：</w:t>
      </w:r>
      <w:r>
        <w:rPr>
          <w:rFonts w:hint="eastAsia" w:ascii="仿宋" w:hAnsi="仿宋" w:eastAsia="仿宋" w:cs="仿宋"/>
          <w:color w:val="auto"/>
          <w:sz w:val="28"/>
          <w:szCs w:val="28"/>
          <w:lang w:val="en-US" w:eastAsia="zh-CN"/>
        </w:rPr>
        <w:t>尚智</w:t>
      </w:r>
      <w:r>
        <w:rPr>
          <w:rFonts w:hint="eastAsia" w:ascii="仿宋" w:hAnsi="仿宋" w:eastAsia="仿宋" w:cs="仿宋"/>
          <w:color w:val="auto"/>
          <w:sz w:val="28"/>
          <w:szCs w:val="28"/>
        </w:rPr>
        <w:t>楼</w:t>
      </w:r>
      <w:r>
        <w:rPr>
          <w:rFonts w:hint="eastAsia" w:ascii="仿宋" w:hAnsi="仿宋" w:eastAsia="仿宋" w:cs="仿宋"/>
          <w:color w:val="auto"/>
          <w:sz w:val="28"/>
          <w:szCs w:val="28"/>
          <w:lang w:val="en-US" w:eastAsia="zh-CN"/>
        </w:rPr>
        <w:t>B1</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B1</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教室</w:t>
      </w:r>
    </w:p>
    <w:p>
      <w:pPr>
        <w:numPr>
          <w:ilvl w:val="0"/>
          <w:numId w:val="6"/>
        </w:numPr>
        <w:ind w:left="0" w:lef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考核办法</w:t>
      </w:r>
    </w:p>
    <w:p>
      <w:pPr>
        <w:numPr>
          <w:ilvl w:val="0"/>
          <w:numId w:val="8"/>
        </w:num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考核成绩包括学习基础成绩（占50%）、面试成绩（占50%），按照得分从高到低确定预录取名单。</w:t>
      </w:r>
    </w:p>
    <w:p>
      <w:pPr>
        <w:numPr>
          <w:ilvl w:val="0"/>
          <w:numId w:val="8"/>
        </w:num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学习基础成绩考核</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学习基础成绩=第一学期绩点</w:t>
      </w:r>
      <w:r>
        <w:rPr>
          <w:rFonts w:hint="eastAsia" w:ascii="仿宋" w:hAnsi="仿宋" w:eastAsia="仿宋" w:cs="仿宋"/>
          <w:color w:val="auto"/>
          <w:sz w:val="28"/>
          <w:szCs w:val="28"/>
        </w:rPr>
        <w:sym w:font="Wingdings 2" w:char="F0CD"/>
      </w:r>
      <w:r>
        <w:rPr>
          <w:rFonts w:hint="eastAsia" w:ascii="仿宋" w:hAnsi="仿宋" w:eastAsia="仿宋" w:cs="仿宋"/>
          <w:color w:val="auto"/>
          <w:sz w:val="28"/>
          <w:szCs w:val="28"/>
        </w:rPr>
        <w:t>10</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专业专业测试</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测试内容</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设计及广告类专业方向：命题设计</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rPr>
        <w:t>评判标准</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由评委按照面试评分标准进行打分，面试环节主要考核学生对拟转入专业的了解和认识程度、专业基本功的掌握程度，以及逻辑思维、表达能力等方面。</w:t>
      </w:r>
    </w:p>
    <w:p>
      <w:pPr>
        <w:numPr>
          <w:ilvl w:val="0"/>
          <w:numId w:val="6"/>
        </w:numPr>
        <w:ind w:left="0" w:lef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资料审核及转入、转出学生名单公示</w:t>
      </w:r>
    </w:p>
    <w:p>
      <w:pPr>
        <w:numPr>
          <w:ilvl w:val="0"/>
          <w:numId w:val="0"/>
        </w:numPr>
        <w:ind w:left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审核、公示转出学生名单</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12月4</w:t>
      </w:r>
      <w:r>
        <w:rPr>
          <w:rFonts w:hint="eastAsia" w:ascii="仿宋" w:hAnsi="仿宋" w:eastAsia="仿宋" w:cs="仿宋"/>
          <w:color w:val="auto"/>
          <w:sz w:val="28"/>
          <w:szCs w:val="28"/>
        </w:rPr>
        <w:t>日，由有意愿且符合申请条件的学生本人提出申请并填写《贵州商学院学生转专业申请表》，交文传学院教科办刘尚志老师处；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学院对学生提交的转入、转出申请及相关证明材料进行审核，依据转出条件确定各专业拟转出学生名单，并将同意转出的学生名单及相关材料交学生申请转入学院；</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公示时间：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日。</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（二）审核转入学生名单、面试</w:t>
      </w:r>
      <w:bookmarkStart w:id="4" w:name="_GoBack"/>
      <w:bookmarkEnd w:id="4"/>
    </w:p>
    <w:p>
      <w:pPr>
        <w:ind w:firstLine="6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日学院对转入申请及相关证明材料进行审核，审核不通过名单将及时告知学生所在学院；</w:t>
      </w:r>
    </w:p>
    <w:p>
      <w:pPr>
        <w:ind w:firstLine="6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rPr>
        <w:t>学院将于</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日期间组织专业面试（专业测试）工作。专业面试结果在学院网站公示，公示期为</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日。公示无异议后，预录取名单上报分院党政联席会议审议。</w:t>
      </w:r>
    </w:p>
    <w:p>
      <w:pPr>
        <w:ind w:firstLine="6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分院党政联席会议审议后，将相关材料报学校教务处审核公示。报送日期：</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本方案由文传学院转专业领导小组负责解释。其他未尽事宜，由转专业领导小组协商解决。</w:t>
      </w:r>
    </w:p>
    <w:p>
      <w:pPr>
        <w:ind w:right="340" w:firstLine="645"/>
        <w:jc w:val="right"/>
        <w:rPr>
          <w:rFonts w:hint="eastAsia" w:ascii="仿宋" w:hAnsi="仿宋" w:eastAsia="仿宋" w:cs="仿宋"/>
          <w:color w:val="auto"/>
          <w:sz w:val="28"/>
          <w:szCs w:val="28"/>
        </w:rPr>
      </w:pPr>
      <w:r>
        <w:rPr>
          <w:rFonts w:hint="eastAsia" w:ascii="仿宋" w:hAnsi="仿宋" w:eastAsia="仿宋" w:cs="仿宋"/>
          <w:color w:val="auto"/>
          <w:sz w:val="28"/>
          <w:szCs w:val="28"/>
        </w:rPr>
        <w:t>文化与艺术传媒学院</w:t>
      </w:r>
    </w:p>
    <w:p>
      <w:pPr>
        <w:ind w:firstLine="645"/>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5C632"/>
    <w:multiLevelType w:val="singleLevel"/>
    <w:tmpl w:val="82A5C632"/>
    <w:lvl w:ilvl="0" w:tentative="0">
      <w:start w:val="2"/>
      <w:numFmt w:val="chineseCounting"/>
      <w:suff w:val="nothing"/>
      <w:lvlText w:val="（%1）"/>
      <w:lvlJc w:val="left"/>
      <w:rPr>
        <w:rFonts w:hint="eastAsia"/>
      </w:rPr>
    </w:lvl>
  </w:abstractNum>
  <w:abstractNum w:abstractNumId="1">
    <w:nsid w:val="8D21073A"/>
    <w:multiLevelType w:val="singleLevel"/>
    <w:tmpl w:val="8D21073A"/>
    <w:lvl w:ilvl="0" w:tentative="0">
      <w:start w:val="2"/>
      <w:numFmt w:val="chineseCounting"/>
      <w:suff w:val="space"/>
      <w:lvlText w:val="第%1条"/>
      <w:lvlJc w:val="left"/>
      <w:rPr>
        <w:rFonts w:hint="eastAsia"/>
      </w:rPr>
    </w:lvl>
  </w:abstractNum>
  <w:abstractNum w:abstractNumId="2">
    <w:nsid w:val="9E338561"/>
    <w:multiLevelType w:val="singleLevel"/>
    <w:tmpl w:val="9E338561"/>
    <w:lvl w:ilvl="0" w:tentative="0">
      <w:start w:val="1"/>
      <w:numFmt w:val="chineseCounting"/>
      <w:suff w:val="nothing"/>
      <w:lvlText w:val="（%1）"/>
      <w:lvlJc w:val="left"/>
      <w:rPr>
        <w:rFonts w:hint="eastAsia"/>
      </w:rPr>
    </w:lvl>
  </w:abstractNum>
  <w:abstractNum w:abstractNumId="3">
    <w:nsid w:val="A8AE979D"/>
    <w:multiLevelType w:val="singleLevel"/>
    <w:tmpl w:val="A8AE979D"/>
    <w:lvl w:ilvl="0" w:tentative="0">
      <w:start w:val="1"/>
      <w:numFmt w:val="chineseCounting"/>
      <w:suff w:val="nothing"/>
      <w:lvlText w:val="（%1）"/>
      <w:lvlJc w:val="left"/>
      <w:rPr>
        <w:rFonts w:hint="eastAsia"/>
      </w:rPr>
    </w:lvl>
  </w:abstractNum>
  <w:abstractNum w:abstractNumId="4">
    <w:nsid w:val="AD9682DA"/>
    <w:multiLevelType w:val="singleLevel"/>
    <w:tmpl w:val="AD9682DA"/>
    <w:lvl w:ilvl="0" w:tentative="0">
      <w:start w:val="1"/>
      <w:numFmt w:val="chineseCounting"/>
      <w:suff w:val="space"/>
      <w:lvlText w:val="第%1条"/>
      <w:lvlJc w:val="left"/>
      <w:rPr>
        <w:rFonts w:hint="eastAsia"/>
      </w:rPr>
    </w:lvl>
  </w:abstractNum>
  <w:abstractNum w:abstractNumId="5">
    <w:nsid w:val="FE413D16"/>
    <w:multiLevelType w:val="singleLevel"/>
    <w:tmpl w:val="FE413D16"/>
    <w:lvl w:ilvl="0" w:tentative="0">
      <w:start w:val="2"/>
      <w:numFmt w:val="chineseCounting"/>
      <w:suff w:val="space"/>
      <w:lvlText w:val="第%1条"/>
      <w:lvlJc w:val="left"/>
      <w:rPr>
        <w:rFonts w:hint="eastAsia"/>
      </w:rPr>
    </w:lvl>
  </w:abstractNum>
  <w:abstractNum w:abstractNumId="6">
    <w:nsid w:val="0D576D57"/>
    <w:multiLevelType w:val="multilevel"/>
    <w:tmpl w:val="0D576D57"/>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DBEFA3C"/>
    <w:multiLevelType w:val="singleLevel"/>
    <w:tmpl w:val="5DBEFA3C"/>
    <w:lvl w:ilvl="0" w:tentative="0">
      <w:start w:val="1"/>
      <w:numFmt w:val="decimal"/>
      <w:suff w:val="nothing"/>
      <w:lvlText w:val="%1、"/>
      <w:lvlJc w:val="left"/>
    </w:lvl>
  </w:abstractNum>
  <w:num w:numId="1">
    <w:abstractNumId w:val="7"/>
  </w:num>
  <w:num w:numId="2">
    <w:abstractNumId w:val="4"/>
  </w:num>
  <w:num w:numId="3">
    <w:abstractNumId w:val="1"/>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84B8D"/>
    <w:rsid w:val="0479539A"/>
    <w:rsid w:val="05387387"/>
    <w:rsid w:val="0A056E06"/>
    <w:rsid w:val="0B585BE2"/>
    <w:rsid w:val="0C201489"/>
    <w:rsid w:val="0DB85349"/>
    <w:rsid w:val="11A01F32"/>
    <w:rsid w:val="13551A83"/>
    <w:rsid w:val="13BC3D8B"/>
    <w:rsid w:val="14AF48F9"/>
    <w:rsid w:val="1AB05476"/>
    <w:rsid w:val="1BB8304D"/>
    <w:rsid w:val="1BD477CE"/>
    <w:rsid w:val="1E3C331F"/>
    <w:rsid w:val="1F271DAB"/>
    <w:rsid w:val="1F402B15"/>
    <w:rsid w:val="200228A7"/>
    <w:rsid w:val="218251E8"/>
    <w:rsid w:val="276C5BFB"/>
    <w:rsid w:val="286A7851"/>
    <w:rsid w:val="28B70B23"/>
    <w:rsid w:val="295507FF"/>
    <w:rsid w:val="29D62B79"/>
    <w:rsid w:val="2A396377"/>
    <w:rsid w:val="2AAB52B3"/>
    <w:rsid w:val="2BE86B76"/>
    <w:rsid w:val="2C6B1383"/>
    <w:rsid w:val="2C783303"/>
    <w:rsid w:val="2D384B8D"/>
    <w:rsid w:val="2D665ECD"/>
    <w:rsid w:val="2E344AD8"/>
    <w:rsid w:val="2EF27F69"/>
    <w:rsid w:val="308F26DF"/>
    <w:rsid w:val="30AC0BEA"/>
    <w:rsid w:val="31BB0B64"/>
    <w:rsid w:val="31F72D3F"/>
    <w:rsid w:val="32444109"/>
    <w:rsid w:val="34AC057E"/>
    <w:rsid w:val="36DE0735"/>
    <w:rsid w:val="3CD34D06"/>
    <w:rsid w:val="3DA774E3"/>
    <w:rsid w:val="3DC8784F"/>
    <w:rsid w:val="3E334F1C"/>
    <w:rsid w:val="40526DFB"/>
    <w:rsid w:val="417A58BA"/>
    <w:rsid w:val="46B44E8E"/>
    <w:rsid w:val="47602EE2"/>
    <w:rsid w:val="4981781B"/>
    <w:rsid w:val="498A315A"/>
    <w:rsid w:val="49DF65C6"/>
    <w:rsid w:val="4A42799A"/>
    <w:rsid w:val="4A8F6486"/>
    <w:rsid w:val="4B1A305A"/>
    <w:rsid w:val="4BD41101"/>
    <w:rsid w:val="4C300AB1"/>
    <w:rsid w:val="4E683FB0"/>
    <w:rsid w:val="4EDA39DA"/>
    <w:rsid w:val="4FEF6C33"/>
    <w:rsid w:val="5161761B"/>
    <w:rsid w:val="52C91D06"/>
    <w:rsid w:val="536A58BC"/>
    <w:rsid w:val="537D0BD1"/>
    <w:rsid w:val="53BC54F1"/>
    <w:rsid w:val="53D121C6"/>
    <w:rsid w:val="54F63574"/>
    <w:rsid w:val="55A27368"/>
    <w:rsid w:val="55CB2535"/>
    <w:rsid w:val="56513A17"/>
    <w:rsid w:val="565E12CD"/>
    <w:rsid w:val="56B7297C"/>
    <w:rsid w:val="581F088A"/>
    <w:rsid w:val="5A451D0E"/>
    <w:rsid w:val="5AC30E1C"/>
    <w:rsid w:val="5CFF22CE"/>
    <w:rsid w:val="5D064747"/>
    <w:rsid w:val="5F1B28BB"/>
    <w:rsid w:val="5FBA5569"/>
    <w:rsid w:val="606B7A73"/>
    <w:rsid w:val="60C72CBD"/>
    <w:rsid w:val="619B1537"/>
    <w:rsid w:val="630C16EF"/>
    <w:rsid w:val="67E65DAE"/>
    <w:rsid w:val="69145BB4"/>
    <w:rsid w:val="69427595"/>
    <w:rsid w:val="6A332773"/>
    <w:rsid w:val="6A64525E"/>
    <w:rsid w:val="6D5E3088"/>
    <w:rsid w:val="6F876E92"/>
    <w:rsid w:val="6F907EA9"/>
    <w:rsid w:val="6F9834C0"/>
    <w:rsid w:val="717B18B7"/>
    <w:rsid w:val="71AC199E"/>
    <w:rsid w:val="71D11B98"/>
    <w:rsid w:val="72D333FC"/>
    <w:rsid w:val="73666EC8"/>
    <w:rsid w:val="75305BE2"/>
    <w:rsid w:val="77150FFC"/>
    <w:rsid w:val="779300CB"/>
    <w:rsid w:val="78907A99"/>
    <w:rsid w:val="7CE93009"/>
    <w:rsid w:val="7DE80938"/>
    <w:rsid w:val="7EE506F0"/>
    <w:rsid w:val="7F826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宋体" w:asciiTheme="minorAscii" w:hAnsiTheme="minorAscii"/>
      <w:b/>
      <w:kern w:val="44"/>
      <w:sz w:val="4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2019-04-24T05:33:00Z</dcterms:created>
  <dc:creator>Administrator</dc:creator>
  <cp:lastModifiedBy>ninosuki</cp:lastModifiedBy>
  <dcterms:modified xsi:type="dcterms:W3CDTF">2020-11-30T00:59:33Z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