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b/>
          <w:bCs/>
          <w:sz w:val="32"/>
          <w:szCs w:val="32"/>
        </w:rPr>
      </w:pPr>
    </w:p>
    <w:p>
      <w:pPr>
        <w:spacing w:line="560" w:lineRule="exact"/>
        <w:jc w:val="center"/>
        <w:rPr>
          <w:rFonts w:ascii="黑体" w:hAnsi="黑体" w:eastAsia="黑体" w:cs="黑体"/>
          <w:b/>
          <w:bCs/>
          <w:sz w:val="32"/>
          <w:szCs w:val="32"/>
        </w:rPr>
      </w:pPr>
    </w:p>
    <w:p>
      <w:pPr>
        <w:spacing w:line="560" w:lineRule="exact"/>
        <w:jc w:val="center"/>
        <w:rPr>
          <w:rFonts w:ascii="黑体" w:hAnsi="黑体" w:eastAsia="黑体" w:cs="黑体"/>
          <w:b/>
          <w:bCs/>
          <w:sz w:val="32"/>
          <w:szCs w:val="32"/>
        </w:rPr>
      </w:pPr>
      <w:r>
        <w:rPr>
          <w:rFonts w:ascii="宋体" w:hAnsi="宋体" w:eastAsia="宋体" w:cs="宋体"/>
          <w:b/>
          <w:kern w:val="0"/>
          <w:sz w:val="72"/>
          <w:szCs w:val="72"/>
        </w:rPr>
        <w:drawing>
          <wp:anchor distT="0" distB="0" distL="114300" distR="114300" simplePos="0" relativeHeight="251660288" behindDoc="0" locked="0" layoutInCell="1" allowOverlap="1">
            <wp:simplePos x="0" y="0"/>
            <wp:positionH relativeFrom="column">
              <wp:posOffset>518160</wp:posOffset>
            </wp:positionH>
            <wp:positionV relativeFrom="paragraph">
              <wp:posOffset>50800</wp:posOffset>
            </wp:positionV>
            <wp:extent cx="1177925" cy="1214120"/>
            <wp:effectExtent l="0" t="0" r="3175"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7925" cy="1214120"/>
                    </a:xfrm>
                    <a:prstGeom prst="rect">
                      <a:avLst/>
                    </a:prstGeom>
                  </pic:spPr>
                </pic:pic>
              </a:graphicData>
            </a:graphic>
          </wp:anchor>
        </w:drawing>
      </w:r>
      <w:r>
        <w:rPr>
          <w:rFonts w:hint="eastAsia" w:ascii="宋体" w:hAnsi="宋体" w:eastAsia="宋体" w:cs="宋体"/>
          <w:b/>
          <w:kern w:val="0"/>
          <w:sz w:val="72"/>
          <w:szCs w:val="72"/>
        </w:rPr>
        <w:drawing>
          <wp:anchor distT="0" distB="0" distL="114300" distR="114300" simplePos="0" relativeHeight="251659264" behindDoc="0" locked="0" layoutInCell="1" allowOverlap="1">
            <wp:simplePos x="0" y="0"/>
            <wp:positionH relativeFrom="column">
              <wp:posOffset>1696720</wp:posOffset>
            </wp:positionH>
            <wp:positionV relativeFrom="paragraph">
              <wp:posOffset>243205</wp:posOffset>
            </wp:positionV>
            <wp:extent cx="2933700" cy="800735"/>
            <wp:effectExtent l="0" t="0" r="0" b="184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33700" cy="800735"/>
                    </a:xfrm>
                    <a:prstGeom prst="rect">
                      <a:avLst/>
                    </a:prstGeom>
                  </pic:spPr>
                </pic:pic>
              </a:graphicData>
            </a:graphic>
          </wp:anchor>
        </w:drawing>
      </w:r>
    </w:p>
    <w:p>
      <w:pPr>
        <w:spacing w:line="560" w:lineRule="exact"/>
        <w:jc w:val="center"/>
        <w:rPr>
          <w:rFonts w:ascii="黑体" w:hAnsi="黑体" w:eastAsia="黑体" w:cs="黑体"/>
          <w:b/>
          <w:bCs/>
          <w:sz w:val="32"/>
          <w:szCs w:val="32"/>
        </w:rPr>
      </w:pPr>
    </w:p>
    <w:p>
      <w:pPr>
        <w:spacing w:line="560" w:lineRule="exact"/>
        <w:jc w:val="center"/>
        <w:rPr>
          <w:rFonts w:ascii="黑体" w:hAnsi="黑体" w:eastAsia="黑体" w:cs="黑体"/>
          <w:b/>
          <w:bCs/>
          <w:sz w:val="32"/>
          <w:szCs w:val="32"/>
        </w:rPr>
      </w:pPr>
    </w:p>
    <w:p>
      <w:pPr>
        <w:spacing w:line="360" w:lineRule="auto"/>
        <w:rPr>
          <w:rFonts w:ascii="黑体" w:hAnsi="黑体" w:eastAsia="黑体" w:cs="黑体"/>
          <w:b/>
          <w:bCs/>
          <w:sz w:val="72"/>
          <w:szCs w:val="72"/>
        </w:rPr>
      </w:pPr>
    </w:p>
    <w:p>
      <w:pPr>
        <w:spacing w:line="360" w:lineRule="auto"/>
        <w:rPr>
          <w:rFonts w:ascii="黑体" w:hAnsi="黑体" w:eastAsia="黑体" w:cs="黑体"/>
          <w:b/>
          <w:bCs/>
          <w:sz w:val="72"/>
          <w:szCs w:val="72"/>
        </w:rPr>
      </w:pPr>
    </w:p>
    <w:p>
      <w:pPr>
        <w:spacing w:line="360" w:lineRule="auto"/>
        <w:jc w:val="center"/>
        <w:rPr>
          <w:rFonts w:ascii="黑体" w:hAnsi="黑体" w:eastAsia="黑体" w:cs="黑体"/>
          <w:b/>
          <w:bCs/>
          <w:sz w:val="72"/>
          <w:szCs w:val="72"/>
        </w:rPr>
      </w:pPr>
      <w:r>
        <w:rPr>
          <w:rFonts w:hint="eastAsia" w:ascii="黑体" w:hAnsi="黑体" w:eastAsia="黑体" w:cs="黑体"/>
          <w:b/>
          <w:bCs/>
          <w:sz w:val="72"/>
          <w:szCs w:val="72"/>
        </w:rPr>
        <w:t>本科教学规范化建设</w:t>
      </w:r>
    </w:p>
    <w:p>
      <w:pPr>
        <w:spacing w:line="360" w:lineRule="auto"/>
        <w:jc w:val="center"/>
        <w:rPr>
          <w:rFonts w:ascii="黑体" w:hAnsi="黑体" w:eastAsia="黑体" w:cs="黑体"/>
          <w:b/>
          <w:bCs/>
          <w:sz w:val="72"/>
          <w:szCs w:val="72"/>
        </w:rPr>
      </w:pPr>
      <w:r>
        <w:rPr>
          <w:rFonts w:hint="eastAsia" w:ascii="黑体" w:hAnsi="黑体" w:eastAsia="黑体" w:cs="黑体"/>
          <w:b/>
          <w:bCs/>
          <w:sz w:val="72"/>
          <w:szCs w:val="72"/>
        </w:rPr>
        <w:t>工作总结</w:t>
      </w:r>
    </w:p>
    <w:p>
      <w:pPr>
        <w:spacing w:line="360" w:lineRule="auto"/>
        <w:rPr>
          <w:rFonts w:ascii="黑体" w:hAnsi="黑体" w:eastAsia="黑体" w:cs="黑体"/>
          <w:b/>
          <w:bCs/>
          <w:sz w:val="72"/>
          <w:szCs w:val="72"/>
        </w:rPr>
      </w:pPr>
    </w:p>
    <w:p>
      <w:pPr>
        <w:spacing w:line="360" w:lineRule="auto"/>
        <w:rPr>
          <w:rFonts w:ascii="黑体" w:hAnsi="黑体" w:eastAsia="黑体" w:cs="黑体"/>
          <w:b/>
          <w:bCs/>
          <w:sz w:val="72"/>
          <w:szCs w:val="72"/>
        </w:rPr>
      </w:pPr>
    </w:p>
    <w:p>
      <w:pPr>
        <w:widowControl/>
        <w:tabs>
          <w:tab w:val="left" w:pos="377"/>
        </w:tabs>
        <w:spacing w:line="300" w:lineRule="auto"/>
        <w:jc w:val="center"/>
        <w:rPr>
          <w:rFonts w:ascii="黑体" w:hAnsi="黑体" w:eastAsia="黑体" w:cs="黑体"/>
          <w:b/>
          <w:kern w:val="0"/>
          <w:sz w:val="36"/>
          <w:szCs w:val="36"/>
        </w:rPr>
      </w:pPr>
    </w:p>
    <w:p>
      <w:pPr>
        <w:widowControl/>
        <w:tabs>
          <w:tab w:val="left" w:pos="377"/>
        </w:tabs>
        <w:spacing w:line="300" w:lineRule="auto"/>
        <w:jc w:val="center"/>
        <w:rPr>
          <w:rFonts w:ascii="黑体" w:hAnsi="黑体" w:eastAsia="黑体" w:cs="黑体"/>
          <w:b/>
          <w:kern w:val="0"/>
          <w:sz w:val="36"/>
          <w:szCs w:val="36"/>
        </w:rPr>
      </w:pPr>
    </w:p>
    <w:p>
      <w:pPr>
        <w:widowControl/>
        <w:tabs>
          <w:tab w:val="left" w:pos="377"/>
        </w:tabs>
        <w:spacing w:line="300" w:lineRule="auto"/>
        <w:jc w:val="center"/>
        <w:rPr>
          <w:rFonts w:ascii="黑体" w:hAnsi="黑体" w:eastAsia="黑体" w:cs="黑体"/>
          <w:b/>
          <w:kern w:val="0"/>
          <w:sz w:val="36"/>
          <w:szCs w:val="36"/>
        </w:rPr>
      </w:pPr>
    </w:p>
    <w:p>
      <w:pPr>
        <w:widowControl/>
        <w:tabs>
          <w:tab w:val="left" w:pos="377"/>
        </w:tabs>
        <w:spacing w:line="300" w:lineRule="auto"/>
        <w:jc w:val="center"/>
        <w:rPr>
          <w:rFonts w:ascii="黑体" w:hAnsi="黑体" w:eastAsia="黑体" w:cs="黑体"/>
          <w:b/>
          <w:kern w:val="0"/>
          <w:sz w:val="36"/>
          <w:szCs w:val="36"/>
        </w:rPr>
      </w:pPr>
    </w:p>
    <w:p>
      <w:pPr>
        <w:widowControl/>
        <w:tabs>
          <w:tab w:val="left" w:pos="377"/>
        </w:tabs>
        <w:spacing w:line="300" w:lineRule="auto"/>
        <w:jc w:val="center"/>
        <w:rPr>
          <w:rFonts w:ascii="黑体" w:hAnsi="黑体" w:eastAsia="黑体" w:cs="黑体"/>
          <w:b/>
          <w:kern w:val="0"/>
          <w:sz w:val="36"/>
          <w:szCs w:val="36"/>
        </w:rPr>
      </w:pPr>
    </w:p>
    <w:p>
      <w:pPr>
        <w:widowControl/>
        <w:tabs>
          <w:tab w:val="left" w:pos="377"/>
        </w:tabs>
        <w:spacing w:line="300" w:lineRule="auto"/>
        <w:jc w:val="center"/>
        <w:rPr>
          <w:rFonts w:ascii="黑体" w:hAnsi="黑体" w:eastAsia="黑体" w:cs="黑体"/>
          <w:b/>
          <w:kern w:val="0"/>
          <w:sz w:val="36"/>
          <w:szCs w:val="36"/>
        </w:rPr>
      </w:pPr>
    </w:p>
    <w:p>
      <w:pPr>
        <w:widowControl/>
        <w:tabs>
          <w:tab w:val="left" w:pos="377"/>
        </w:tabs>
        <w:spacing w:line="300" w:lineRule="auto"/>
        <w:jc w:val="center"/>
        <w:rPr>
          <w:rFonts w:ascii="黑体" w:hAnsi="黑体" w:eastAsia="黑体" w:cs="黑体"/>
          <w:b/>
          <w:kern w:val="0"/>
          <w:sz w:val="36"/>
          <w:szCs w:val="36"/>
        </w:rPr>
      </w:pPr>
      <w:r>
        <w:rPr>
          <w:rFonts w:hint="eastAsia" w:ascii="黑体" w:hAnsi="黑体" w:eastAsia="黑体" w:cs="黑体"/>
          <w:b/>
          <w:kern w:val="0"/>
          <w:sz w:val="36"/>
          <w:szCs w:val="36"/>
        </w:rPr>
        <w:t>会计学院</w:t>
      </w:r>
    </w:p>
    <w:p>
      <w:pPr>
        <w:widowControl/>
        <w:tabs>
          <w:tab w:val="left" w:pos="377"/>
        </w:tabs>
        <w:spacing w:line="300" w:lineRule="auto"/>
        <w:jc w:val="center"/>
        <w:rPr>
          <w:rFonts w:ascii="黑体" w:hAnsi="黑体" w:eastAsia="黑体" w:cs="黑体"/>
          <w:b/>
          <w:kern w:val="0"/>
          <w:sz w:val="36"/>
          <w:szCs w:val="36"/>
        </w:rPr>
      </w:pPr>
      <w:r>
        <w:rPr>
          <w:rFonts w:hint="eastAsia" w:ascii="黑体" w:hAnsi="黑体" w:eastAsia="黑体" w:cs="黑体"/>
          <w:b/>
          <w:kern w:val="0"/>
          <w:sz w:val="36"/>
          <w:szCs w:val="36"/>
        </w:rPr>
        <w:t>二零二零年十一月</w:t>
      </w:r>
    </w:p>
    <w:p>
      <w:pPr>
        <w:numPr>
          <w:ilvl w:val="255"/>
          <w:numId w:val="0"/>
        </w:numPr>
        <w:tabs>
          <w:tab w:val="left" w:pos="0"/>
          <w:tab w:val="left" w:pos="851"/>
        </w:tabs>
        <w:spacing w:line="360" w:lineRule="auto"/>
        <w:rPr>
          <w:rFonts w:ascii="黑体" w:hAnsi="黑体" w:eastAsia="黑体" w:cs="黑体"/>
          <w:sz w:val="32"/>
          <w:szCs w:val="32"/>
        </w:rPr>
      </w:pPr>
    </w:p>
    <w:p>
      <w:pPr>
        <w:numPr>
          <w:ilvl w:val="255"/>
          <w:numId w:val="0"/>
        </w:numPr>
        <w:tabs>
          <w:tab w:val="left" w:pos="0"/>
          <w:tab w:val="left" w:pos="851"/>
        </w:tabs>
        <w:spacing w:line="360" w:lineRule="auto"/>
        <w:ind w:firstLine="640" w:firstLineChars="200"/>
        <w:rPr>
          <w:rFonts w:ascii="黑体" w:hAnsi="黑体" w:eastAsia="仿宋" w:cs="黑体"/>
          <w:sz w:val="32"/>
          <w:szCs w:val="32"/>
        </w:rPr>
      </w:pPr>
      <w:r>
        <w:rPr>
          <w:rFonts w:hint="eastAsia" w:ascii="仿宋" w:hAnsi="仿宋" w:eastAsia="仿宋" w:cs="仿宋"/>
          <w:sz w:val="32"/>
          <w:szCs w:val="32"/>
        </w:rPr>
        <w:t>依据《贵州商学院本科教学规范建设实施方案》、《贵州商学院关于全面提高本科教学质量的实施意见》等相关文件精神，在2019年8月学校召开的贵州商学院本科教学工作合格评估和本科教学规范化建设动员大会后，会计学院成立专班对接教学规范化建设工作和合格评估工作。经过建设，学院逐步形成了较为良好的教学规范化意识和氛围。在教学管理方面的规范性明显增强，具体表现在教师逐步树立增强规范建设的紧迫感和责任感，能自觉遵守各项教学管理规定，能严格执行各项教学要求，能按标准完成各项教学资料。为进一步总结经验、发现不足，现将会计学院规范化建设工作推进情况总结如下。</w:t>
      </w:r>
    </w:p>
    <w:p>
      <w:pPr>
        <w:numPr>
          <w:ilvl w:val="255"/>
          <w:numId w:val="0"/>
        </w:numPr>
        <w:tabs>
          <w:tab w:val="left" w:pos="0"/>
          <w:tab w:val="left" w:pos="851"/>
        </w:tabs>
        <w:spacing w:line="360" w:lineRule="auto"/>
        <w:ind w:firstLine="640" w:firstLineChars="200"/>
        <w:rPr>
          <w:rFonts w:ascii="仿宋" w:hAnsi="仿宋" w:eastAsia="仿宋" w:cs="仿宋"/>
          <w:sz w:val="32"/>
          <w:szCs w:val="32"/>
        </w:rPr>
      </w:pPr>
      <w:r>
        <w:rPr>
          <w:rFonts w:hint="eastAsia" w:ascii="黑体" w:hAnsi="黑体" w:eastAsia="黑体" w:cs="黑体"/>
          <w:sz w:val="32"/>
          <w:szCs w:val="32"/>
        </w:rPr>
        <w:t>一、工作目标</w:t>
      </w:r>
    </w:p>
    <w:p>
      <w:pPr>
        <w:numPr>
          <w:ilvl w:val="255"/>
          <w:numId w:val="0"/>
        </w:numPr>
        <w:tabs>
          <w:tab w:val="left" w:pos="0"/>
          <w:tab w:val="left" w:pos="851"/>
        </w:tabs>
        <w:spacing w:line="360" w:lineRule="auto"/>
        <w:rPr>
          <w:rFonts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（一）指导思想</w:t>
      </w:r>
    </w:p>
    <w:p>
      <w:pPr>
        <w:pStyle w:val="2"/>
        <w:spacing w:before="140" w:line="312" w:lineRule="auto"/>
        <w:ind w:left="106" w:right="177" w:firstLine="640"/>
      </w:pPr>
      <w:r>
        <w:rPr>
          <w:spacing w:val="-6"/>
        </w:rPr>
        <w:t>以习近平新时代中国特色社会主义思想为指导，全面贯彻落</w:t>
      </w:r>
      <w:r>
        <w:rPr>
          <w:spacing w:val="-5"/>
        </w:rPr>
        <w:t>实《教育部关于加快建设高水平本科教育全面提高人才培养能</w:t>
      </w:r>
      <w:r>
        <w:rPr>
          <w:spacing w:val="-35"/>
          <w:w w:val="99"/>
        </w:rPr>
        <w:t>力的意见》</w:t>
      </w:r>
      <w:r>
        <w:rPr>
          <w:spacing w:val="1"/>
          <w:w w:val="99"/>
        </w:rPr>
        <w:t>（</w:t>
      </w:r>
      <w:r>
        <w:rPr>
          <w:spacing w:val="-2"/>
          <w:w w:val="99"/>
        </w:rPr>
        <w:t>教高〔</w:t>
      </w:r>
      <w:r>
        <w:rPr>
          <w:rFonts w:ascii="Times New Roman" w:eastAsia="Times New Roman"/>
          <w:w w:val="99"/>
        </w:rPr>
        <w:t>20</w:t>
      </w:r>
      <w:r>
        <w:rPr>
          <w:rFonts w:ascii="Times New Roman" w:eastAsia="Times New Roman"/>
          <w:spacing w:val="-2"/>
          <w:w w:val="99"/>
        </w:rPr>
        <w:t>18</w:t>
      </w:r>
      <w:r>
        <w:rPr>
          <w:spacing w:val="-5"/>
          <w:w w:val="99"/>
        </w:rPr>
        <w:t>〕</w:t>
      </w:r>
      <w:r>
        <w:rPr>
          <w:rFonts w:ascii="Times New Roman" w:eastAsia="Times New Roman"/>
          <w:w w:val="99"/>
        </w:rPr>
        <w:t>2</w:t>
      </w:r>
      <w:r>
        <w:rPr>
          <w:rFonts w:ascii="Times New Roman" w:eastAsia="Times New Roman"/>
        </w:rPr>
        <w:t xml:space="preserve"> </w:t>
      </w:r>
      <w:r>
        <w:rPr>
          <w:w w:val="99"/>
        </w:rPr>
        <w:t>号</w:t>
      </w:r>
      <w:r>
        <w:rPr>
          <w:rFonts w:hint="eastAsia"/>
          <w:w w:val="99"/>
        </w:rPr>
        <w:t>）</w:t>
      </w:r>
      <w:r>
        <w:rPr>
          <w:rFonts w:hint="eastAsia"/>
          <w:spacing w:val="-3"/>
          <w:w w:val="99"/>
        </w:rPr>
        <w:t>，</w:t>
      </w:r>
      <w:r>
        <w:rPr>
          <w:spacing w:val="-3"/>
          <w:w w:val="99"/>
        </w:rPr>
        <w:t>对标教育部《普通高等学校本</w:t>
      </w:r>
      <w:r>
        <w:rPr>
          <w:spacing w:val="-1"/>
          <w:w w:val="99"/>
        </w:rPr>
        <w:t>科教学工作合格评估指标和基本要求</w:t>
      </w:r>
      <w:r>
        <w:rPr>
          <w:spacing w:val="1"/>
          <w:w w:val="99"/>
        </w:rPr>
        <w:t>（</w:t>
      </w:r>
      <w:r>
        <w:rPr>
          <w:w w:val="99"/>
        </w:rPr>
        <w:t>试行</w:t>
      </w:r>
      <w:r>
        <w:rPr>
          <w:spacing w:val="-161"/>
          <w:w w:val="99"/>
        </w:rPr>
        <w:t>）</w:t>
      </w:r>
      <w:r>
        <w:rPr>
          <w:spacing w:val="-159"/>
          <w:w w:val="99"/>
        </w:rPr>
        <w:t>》</w:t>
      </w:r>
      <w:r>
        <w:rPr>
          <w:w w:val="99"/>
        </w:rPr>
        <w:t>（</w:t>
      </w:r>
      <w:r>
        <w:rPr>
          <w:rFonts w:ascii="Times New Roman" w:eastAsia="Times New Roman"/>
          <w:w w:val="99"/>
        </w:rPr>
        <w:t>20</w:t>
      </w:r>
      <w:r>
        <w:rPr>
          <w:rFonts w:ascii="Times New Roman" w:eastAsia="Times New Roman"/>
          <w:spacing w:val="-2"/>
          <w:w w:val="99"/>
        </w:rPr>
        <w:t>1</w:t>
      </w:r>
      <w:r>
        <w:rPr>
          <w:rFonts w:ascii="Times New Roman" w:eastAsia="Times New Roman"/>
          <w:w w:val="99"/>
        </w:rPr>
        <w:t>8</w:t>
      </w:r>
      <w:r>
        <w:rPr>
          <w:rFonts w:ascii="Times New Roman" w:eastAsia="Times New Roman"/>
        </w:rPr>
        <w:t xml:space="preserve"> </w:t>
      </w:r>
      <w:r>
        <w:rPr>
          <w:w w:val="99"/>
        </w:rPr>
        <w:t>年调整</w:t>
      </w:r>
      <w:r>
        <w:rPr>
          <w:spacing w:val="-159"/>
          <w:w w:val="99"/>
        </w:rPr>
        <w:t>）</w:t>
      </w:r>
      <w:r>
        <w:rPr>
          <w:w w:val="99"/>
        </w:rPr>
        <w:t>，</w:t>
      </w:r>
      <w:r>
        <w:rPr>
          <w:spacing w:val="-7"/>
        </w:rPr>
        <w:t>结合《贵州商学院关于全面提高本科教学质量的实施意见》</w:t>
      </w:r>
      <w:r>
        <w:t>（黔</w:t>
      </w:r>
      <w:r>
        <w:rPr>
          <w:spacing w:val="-3"/>
        </w:rPr>
        <w:t>商院发〔</w:t>
      </w:r>
      <w:r>
        <w:rPr>
          <w:rFonts w:ascii="Times New Roman" w:eastAsia="Times New Roman"/>
        </w:rPr>
        <w:t>2018</w:t>
      </w:r>
      <w:r>
        <w:rPr>
          <w:spacing w:val="-7"/>
        </w:rPr>
        <w:t>〕</w:t>
      </w:r>
      <w:r>
        <w:rPr>
          <w:rFonts w:ascii="Times New Roman" w:eastAsia="Times New Roman"/>
        </w:rPr>
        <w:t xml:space="preserve">185 </w:t>
      </w:r>
      <w:r>
        <w:t>号</w:t>
      </w:r>
      <w:r>
        <w:rPr>
          <w:spacing w:val="-7"/>
        </w:rPr>
        <w:t>）</w:t>
      </w:r>
      <w:r>
        <w:rPr>
          <w:spacing w:val="-2"/>
        </w:rPr>
        <w:t>和工作实际，切实加强本科教学规范建</w:t>
      </w:r>
      <w:r>
        <w:rPr>
          <w:spacing w:val="-2"/>
          <w:w w:val="95"/>
        </w:rPr>
        <w:t>设，全面提高教学工作水平和人才培养质量。</w:t>
      </w:r>
    </w:p>
    <w:p>
      <w:pPr>
        <w:numPr>
          <w:ilvl w:val="255"/>
          <w:numId w:val="0"/>
        </w:numPr>
        <w:tabs>
          <w:tab w:val="left" w:pos="0"/>
          <w:tab w:val="left" w:pos="851"/>
        </w:tabs>
        <w:spacing w:line="360" w:lineRule="auto"/>
        <w:rPr>
          <w:rFonts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（二）工作目标</w:t>
      </w:r>
    </w:p>
    <w:p>
      <w:pPr>
        <w:pStyle w:val="2"/>
        <w:spacing w:before="140" w:line="321" w:lineRule="auto"/>
        <w:ind w:left="106" w:right="211" w:firstLine="640"/>
      </w:pPr>
      <w:r>
        <w:rPr>
          <w:rFonts w:hint="eastAsia"/>
        </w:rPr>
        <w:t>1.</w:t>
      </w:r>
      <w:r>
        <w:rPr>
          <w:rFonts w:hint="eastAsia"/>
          <w:kern w:val="0"/>
          <w:lang w:bidi="zh-CN"/>
        </w:rPr>
        <w:t>围绕立德树人根本任务，以服务经济社会发展为导向，主动融入行业和区域经济, 以提升实力为核心，构建价值塑造、能力培养、知识传授“三位一体”的人才培养教育模式；弘扬“严谨、勤奋、求实、创新”学风，打造 “重基础、强能力、宽视野、守诚信”育人特色。</w:t>
      </w:r>
    </w:p>
    <w:p>
      <w:pPr>
        <w:pStyle w:val="2"/>
        <w:spacing w:before="140" w:line="321" w:lineRule="auto"/>
        <w:ind w:left="106" w:right="211" w:firstLine="640"/>
      </w:pPr>
      <w:r>
        <w:rPr>
          <w:rFonts w:hint="eastAsia"/>
        </w:rPr>
        <w:t>2.以应用型人才培养为目标，牢固树立本科教学在人才培养中的核心地位，增强教学规范建设的紧迫感和责任感，形成教学管理规范、教学运行有序、教学质量监控有效的教学工作格局。</w:t>
      </w:r>
    </w:p>
    <w:p>
      <w:pPr>
        <w:pStyle w:val="2"/>
        <w:spacing w:before="140" w:line="321" w:lineRule="auto"/>
        <w:ind w:left="106" w:right="211" w:firstLine="640"/>
      </w:pPr>
      <w:r>
        <w:rPr>
          <w:rFonts w:hint="eastAsia"/>
          <w:spacing w:val="-15"/>
          <w:w w:val="95"/>
        </w:rPr>
        <w:t>3.</w:t>
      </w:r>
      <w:r>
        <w:rPr>
          <w:rFonts w:hint="eastAsia"/>
        </w:rPr>
        <w:t>根据学院本科教学规范化建设总体目标，按照学院整体安排和各牵头部门的具体工作要求，</w:t>
      </w:r>
      <w:r>
        <w:t>加强</w:t>
      </w:r>
      <w:r>
        <w:rPr>
          <w:rFonts w:hint="eastAsia"/>
        </w:rPr>
        <w:t>学院</w:t>
      </w:r>
      <w:r>
        <w:t>本科教学改革</w:t>
      </w:r>
      <w:r>
        <w:rPr>
          <w:rFonts w:hint="eastAsia"/>
        </w:rPr>
        <w:t>和</w:t>
      </w:r>
      <w:r>
        <w:t>建设</w:t>
      </w:r>
      <w:r>
        <w:rPr>
          <w:rFonts w:hint="eastAsia"/>
        </w:rPr>
        <w:t>，</w:t>
      </w:r>
      <w:r>
        <w:t>规范教学管理，提高教学质量，</w:t>
      </w:r>
      <w:r>
        <w:rPr>
          <w:rFonts w:hint="eastAsia"/>
        </w:rPr>
        <w:t>保障2021年学院</w:t>
      </w:r>
      <w:r>
        <w:t>顺利通过教育部本科教学工作合格评估。</w:t>
      </w:r>
    </w:p>
    <w:p>
      <w:pPr>
        <w:pStyle w:val="2"/>
        <w:spacing w:before="140" w:line="321" w:lineRule="auto"/>
        <w:ind w:left="106" w:right="211" w:firstLine="640"/>
        <w:rPr>
          <w:b/>
          <w:bCs/>
        </w:rPr>
      </w:pPr>
      <w:r>
        <w:rPr>
          <w:rFonts w:hint="eastAsia"/>
          <w:b/>
          <w:bCs/>
        </w:rPr>
        <w:t>二、工作组织</w:t>
      </w:r>
    </w:p>
    <w:p>
      <w:pPr>
        <w:pStyle w:val="2"/>
        <w:spacing w:before="140" w:line="321" w:lineRule="auto"/>
        <w:ind w:left="106" w:right="211" w:firstLine="640"/>
        <w:rPr>
          <w:b/>
          <w:bCs/>
        </w:rPr>
      </w:pPr>
      <w:r>
        <w:rPr>
          <w:rFonts w:hint="eastAsia"/>
          <w:b/>
          <w:bCs/>
        </w:rPr>
        <w:t>成立由总支书记、院长任组长的会计学院本科教学规范建设专班</w:t>
      </w:r>
    </w:p>
    <w:p>
      <w:pPr>
        <w:pStyle w:val="2"/>
        <w:spacing w:before="140" w:line="321" w:lineRule="auto"/>
        <w:ind w:left="106" w:right="211" w:firstLine="640"/>
      </w:pPr>
      <w:r>
        <w:rPr>
          <w:rFonts w:hint="eastAsia"/>
        </w:rPr>
        <w:t xml:space="preserve"> 2019年8月的贵州商学院本科教学工作合格评估和本科教学规范化建设动员大会后，会计学院成立工作专班，负责组织开展会计学院本科教学规范建设活动。由总支书记和院长况培颖担任组长，金青、许玲茜、张庆华担任副组长，三个教研室主任、5名二级督导和教科办主任为工作成员，覃溯担任专班资料收集员。工作专班的工作职责包括制定会计学院本科教学规范建设工作方案、组织全体教师的专题学习、落实牵头部门下发的各项具体工作。各教研室主任是本专业教学规范建设的第一责任人，按照分院实施方案扎实开展本科教学管理规范建设工作，全体教师切实认真履行教师职责，积极参加本科教学管理规范建设工作。</w:t>
      </w:r>
    </w:p>
    <w:p>
      <w:pPr>
        <w:spacing w:line="360" w:lineRule="auto"/>
        <w:ind w:left="140" w:firstLine="640" w:firstLineChars="200"/>
        <w:rPr>
          <w:rFonts w:ascii="黑体" w:hAnsi="黑体" w:eastAsia="黑体" w:cs="黑体"/>
          <w:sz w:val="32"/>
          <w:szCs w:val="32"/>
        </w:rPr>
      </w:pPr>
      <w:r>
        <w:rPr>
          <w:rFonts w:hint="eastAsia" w:ascii="黑体" w:hAnsi="黑体" w:eastAsia="黑体" w:cs="黑体"/>
          <w:sz w:val="32"/>
          <w:szCs w:val="32"/>
        </w:rPr>
        <w:t>三、工作举措及成效</w:t>
      </w:r>
    </w:p>
    <w:p>
      <w:pPr>
        <w:numPr>
          <w:ilvl w:val="255"/>
          <w:numId w:val="0"/>
        </w:numPr>
        <w:tabs>
          <w:tab w:val="left" w:pos="0"/>
        </w:tabs>
        <w:spacing w:line="360" w:lineRule="auto"/>
        <w:ind w:firstLine="643" w:firstLineChars="200"/>
        <w:rPr>
          <w:rFonts w:ascii="仿宋" w:hAnsi="仿宋" w:eastAsia="仿宋" w:cs="仿宋"/>
          <w:b/>
          <w:bCs/>
          <w:kern w:val="0"/>
          <w:sz w:val="32"/>
          <w:szCs w:val="32"/>
          <w:lang w:bidi="zh-CN"/>
        </w:rPr>
      </w:pPr>
      <w:bookmarkStart w:id="0" w:name="_Hlk45827337"/>
      <w:r>
        <w:rPr>
          <w:rFonts w:hint="eastAsia" w:ascii="仿宋" w:hAnsi="仿宋" w:eastAsia="仿宋" w:cs="仿宋"/>
          <w:b/>
          <w:bCs/>
          <w:kern w:val="0"/>
          <w:sz w:val="32"/>
          <w:szCs w:val="32"/>
          <w:lang w:bidi="zh-CN"/>
        </w:rPr>
        <w:t>（一）教学组织与教学管理体系</w:t>
      </w:r>
    </w:p>
    <w:p>
      <w:pPr>
        <w:spacing w:line="360" w:lineRule="auto"/>
        <w:ind w:left="636" w:leftChars="150" w:hanging="321" w:hangingChars="100"/>
        <w:rPr>
          <w:rFonts w:ascii="仿宋" w:hAnsi="仿宋" w:eastAsia="仿宋" w:cs="仿宋"/>
          <w:sz w:val="31"/>
          <w:szCs w:val="31"/>
        </w:rPr>
      </w:pPr>
      <w:r>
        <w:rPr>
          <w:rFonts w:hint="eastAsia" w:ascii="仿宋" w:hAnsi="仿宋" w:eastAsia="仿宋" w:cs="仿宋"/>
          <w:b/>
          <w:bCs/>
          <w:sz w:val="32"/>
          <w:szCs w:val="32"/>
        </w:rPr>
        <w:t>制定会计学院教学管理工作规程，明确学院工作职责。</w:t>
      </w:r>
    </w:p>
    <w:p>
      <w:pPr>
        <w:pStyle w:val="2"/>
        <w:rPr>
          <w:sz w:val="31"/>
          <w:szCs w:val="31"/>
        </w:rPr>
      </w:pPr>
      <w:r>
        <w:rPr>
          <w:rFonts w:hint="eastAsia"/>
        </w:rPr>
        <w:t>制定《会计学院教学管理工作规程》、《会计学院教学过程管理办法》以加强课堂规范化建设。按照分院总体要求完成各项教学组织和教学管理工作任务。在教学管理制度方面，制定《会计学院教学督导工作管理办法》、《会计学院教研室主任工作管理办法》，明晰二级督学和教研室主任的工作职责和权利，明确分学院、教研室的相应职责。</w:t>
      </w:r>
    </w:p>
    <w:p>
      <w:pPr>
        <w:spacing w:line="360" w:lineRule="auto"/>
        <w:ind w:firstLine="482" w:firstLineChars="150"/>
        <w:rPr>
          <w:rFonts w:ascii="仿宋" w:hAnsi="仿宋" w:eastAsia="仿宋" w:cs="仿宋"/>
          <w:b/>
          <w:bCs/>
          <w:sz w:val="32"/>
          <w:szCs w:val="32"/>
        </w:rPr>
      </w:pPr>
      <w:r>
        <w:rPr>
          <w:rFonts w:hint="eastAsia" w:ascii="仿宋" w:hAnsi="仿宋" w:eastAsia="仿宋" w:cs="仿宋"/>
          <w:b/>
          <w:bCs/>
          <w:sz w:val="32"/>
          <w:szCs w:val="32"/>
        </w:rPr>
        <w:t>成立并明确会计学院教授委员会工作职责。</w:t>
      </w:r>
      <w:r>
        <w:rPr>
          <w:rFonts w:hint="eastAsia" w:ascii="仿宋" w:hAnsi="仿宋" w:eastAsia="仿宋" w:cs="仿宋"/>
          <w:sz w:val="32"/>
          <w:szCs w:val="32"/>
        </w:rPr>
        <w:t>会计学院成立了教授委员会，其主要工作职责包括：审定学科建设和专业建设的重要事宜；审定人才培养方案、推荐教师职称评审；审定毕业论文选题工作等。在本年度，已完成了2020人才培养方案的审定、2020年教师职称评审的推荐、2017级毕业论文的选题审定等工作。</w:t>
      </w:r>
    </w:p>
    <w:p>
      <w:pPr>
        <w:pStyle w:val="2"/>
        <w:autoSpaceDE w:val="0"/>
        <w:autoSpaceDN w:val="0"/>
        <w:spacing w:line="360" w:lineRule="auto"/>
        <w:ind w:firstLine="640"/>
        <w:rPr>
          <w:b/>
          <w:bCs/>
        </w:rPr>
      </w:pPr>
      <w:r>
        <w:rPr>
          <w:rFonts w:hint="eastAsia"/>
          <w:b/>
          <w:bCs/>
        </w:rPr>
        <w:t xml:space="preserve">建立分院二级督学、细化工作职责。 </w:t>
      </w:r>
      <w:r>
        <w:rPr>
          <w:rFonts w:hint="eastAsia"/>
        </w:rPr>
        <w:t>选拔政治素养好，教学效果优良的高级职称老师担任会计学院二级督学，明确二级督学工作职责。一是配合学校级督学工作的同时，参加本部门专项检查工作，抽查期末试卷、实习（实验）报告、毕业论文（设计）等，发现日常教学中存在的问题，找出影响教学质量的原因，提出改进意见和建议，并总结和推广好的经验；二是不定期召开师生座谈会，收集和及时反馈本院师生对教学工作、教风、学风的意见和要求，以及对新教师</w:t>
      </w:r>
      <w:r>
        <w:rPr>
          <w:rFonts w:hint="eastAsia"/>
          <w:sz w:val="31"/>
          <w:szCs w:val="31"/>
        </w:rPr>
        <w:t>教学能力进行评估，并及时反馈给相关教师。</w:t>
      </w:r>
      <w:r>
        <w:rPr>
          <w:rFonts w:hint="eastAsia"/>
        </w:rPr>
        <w:t>目前会计学院二级督学已经开展了三个学期的工作，包括专项检查、新教师教学能力评估，教师教学满意度和师德师风测评。本学期在校院两级督导的有效监控下，教师的教学规范显著提升。第11周组织会计学院三个本科专业4个年级的学生，分别针对每门课和每位教师进行了涵盖教学和师德师风两方面的满意度调查。目前相关信息还在收集中。</w:t>
      </w:r>
    </w:p>
    <w:p>
      <w:pPr>
        <w:spacing w:line="360" w:lineRule="auto"/>
        <w:ind w:firstLine="482" w:firstLineChars="150"/>
        <w:rPr>
          <w:rFonts w:ascii="仿宋" w:hAnsi="仿宋" w:eastAsia="仿宋" w:cs="仿宋"/>
          <w:b/>
          <w:bCs/>
          <w:sz w:val="32"/>
          <w:szCs w:val="32"/>
        </w:rPr>
      </w:pPr>
      <w:r>
        <w:rPr>
          <w:rFonts w:hint="eastAsia" w:ascii="仿宋" w:hAnsi="仿宋" w:eastAsia="仿宋" w:cs="仿宋"/>
          <w:b/>
          <w:bCs/>
          <w:sz w:val="32"/>
          <w:szCs w:val="32"/>
        </w:rPr>
        <w:t>成立科教科，配备相关工作人员，明确分工。</w:t>
      </w:r>
      <w:r>
        <w:rPr>
          <w:rFonts w:hint="eastAsia" w:ascii="仿宋" w:hAnsi="仿宋" w:eastAsia="仿宋" w:cs="仿宋"/>
          <w:bCs/>
          <w:sz w:val="32"/>
          <w:szCs w:val="32"/>
        </w:rPr>
        <w:t>按照学校对二级学院机构设置要求，成立科教科，科长一人、科员一人，科研助理一人。为防止教学和科研工作交叉推诿,专门制定了会计学院教学科研岗位工作职责，明确分工，各司其职。</w:t>
      </w:r>
    </w:p>
    <w:p>
      <w:pPr>
        <w:spacing w:line="360" w:lineRule="auto"/>
        <w:ind w:firstLine="482" w:firstLineChars="150"/>
        <w:rPr>
          <w:rFonts w:ascii="仿宋" w:hAnsi="仿宋" w:eastAsia="仿宋" w:cs="仿宋"/>
          <w:b/>
          <w:bCs/>
          <w:sz w:val="32"/>
          <w:szCs w:val="32"/>
        </w:rPr>
      </w:pPr>
      <w:r>
        <w:rPr>
          <w:rFonts w:hint="eastAsia" w:ascii="仿宋" w:hAnsi="仿宋" w:eastAsia="仿宋" w:cs="仿宋"/>
          <w:b/>
          <w:bCs/>
          <w:sz w:val="32"/>
          <w:szCs w:val="32"/>
        </w:rPr>
        <w:t>进一步完善教研室机构，明确工作范围和职责。</w:t>
      </w:r>
      <w:r>
        <w:rPr>
          <w:rFonts w:hint="eastAsia" w:ascii="仿宋" w:hAnsi="仿宋" w:eastAsia="仿宋" w:cs="仿宋"/>
          <w:sz w:val="32"/>
          <w:szCs w:val="32"/>
        </w:rPr>
        <w:t>选拔教学业务精良的骨干老师担任教研室主任，积极为每个教研室配备教研室秘书。进一步明确教研室工作范围及工作职责，教研室主任的主要职责包括：开展本专业人才需求调研、专业人才培养方案的制定、主持并安排教研室的日常工作；组织课程组教师讨论、制订、修订每门课程的教学大纲；根据人才培养方案确定每学期教学计划，检查教学计划的执行情况和日常教学情况；负责教学任务的落实与管理；定期主持并安排教研活动；协助分院进行教学评估工作的落实与组织；负责本专业各门课程的基础建设与一流课程、优质课程、精品课程建设；组织本专业课程试题库的建设与管理；组织本教研室教师相互听课，相互评课，掌握教研室教师的授课情况，提出相应改进意见；认真组织和落实每学期的期初、期中、期末教学检查；完成每学期末教研室工作总结。</w:t>
      </w:r>
    </w:p>
    <w:p>
      <w:pPr>
        <w:spacing w:line="360" w:lineRule="auto"/>
        <w:ind w:firstLine="482" w:firstLineChars="150"/>
        <w:rPr>
          <w:rFonts w:ascii="仿宋" w:hAnsi="仿宋" w:eastAsia="仿宋" w:cs="仿宋"/>
          <w:sz w:val="32"/>
          <w:szCs w:val="32"/>
        </w:rPr>
      </w:pPr>
      <w:r>
        <w:rPr>
          <w:rFonts w:hint="eastAsia" w:ascii="仿宋" w:hAnsi="仿宋" w:eastAsia="仿宋" w:cs="仿宋"/>
          <w:b/>
          <w:bCs/>
          <w:sz w:val="32"/>
          <w:szCs w:val="32"/>
        </w:rPr>
        <w:t>积极推行教研室管理信息平台参与教研管理。</w:t>
      </w:r>
      <w:r>
        <w:rPr>
          <w:rFonts w:hint="eastAsia" w:ascii="仿宋" w:hAnsi="仿宋" w:eastAsia="仿宋" w:cs="仿宋"/>
          <w:sz w:val="32"/>
          <w:szCs w:val="32"/>
        </w:rPr>
        <w:t>三个教研室积极响应学校提出的教研室信息化管理，目前完成了信息平台19202学期教研活动资料上传，以及20211学期教学计划和截止本周的4次教研活动的资料上传。</w:t>
      </w:r>
    </w:p>
    <w:p>
      <w:pPr>
        <w:spacing w:line="360" w:lineRule="auto"/>
        <w:ind w:firstLine="482" w:firstLineChars="150"/>
        <w:rPr>
          <w:rFonts w:ascii="仿宋" w:hAnsi="仿宋" w:eastAsia="仿宋" w:cs="仿宋"/>
          <w:b/>
          <w:bCs/>
          <w:kern w:val="0"/>
          <w:sz w:val="32"/>
          <w:szCs w:val="32"/>
          <w:lang w:bidi="zh-CN"/>
        </w:rPr>
      </w:pPr>
      <w:r>
        <w:rPr>
          <w:rFonts w:hint="eastAsia" w:ascii="仿宋" w:hAnsi="仿宋" w:eastAsia="仿宋" w:cs="仿宋"/>
          <w:b/>
          <w:bCs/>
          <w:kern w:val="0"/>
          <w:sz w:val="32"/>
          <w:szCs w:val="32"/>
          <w:lang w:bidi="zh-CN"/>
        </w:rPr>
        <w:t>（二）教学计划管理</w:t>
      </w:r>
    </w:p>
    <w:p>
      <w:pPr>
        <w:pStyle w:val="2"/>
        <w:ind w:firstLine="803" w:firstLineChars="250"/>
      </w:pPr>
      <w:r>
        <w:rPr>
          <w:rFonts w:hint="eastAsia"/>
          <w:b/>
        </w:rPr>
        <w:t>严格按照学校每年拟定的人才培养方案指导性意见制定各年级人才培养方案</w:t>
      </w:r>
      <w:r>
        <w:rPr>
          <w:rFonts w:hint="eastAsia"/>
        </w:rPr>
        <w:t xml:space="preserve">。每年人才培养方案制定前，各专业通过线上线下开展广泛的社会需求调研，并撰写人才需求调研报告。每年邀请来自行业、企业及高校专家对人才培养方案进行论证，广泛征集专家意见。在新生入学教育和第一学期的专业导论课程中，给学生解读专业人才培养方案基本内容；人才培养方案定稿后向辅导员和全院教师发布。对于各年级人才培养方案执行中存在的变动，均按要求办理变更手续且有相关材料支撑。各专业已开设专业课程均按要求格式完成课程大纲编写，对于通识课程和公选课程教学大纲由于课程归属原因，相关的成册、执行及教研室、教科办、院部三级审核机制由归属单位完成。   </w:t>
      </w:r>
    </w:p>
    <w:p>
      <w:pPr>
        <w:pStyle w:val="2"/>
        <w:ind w:firstLine="643" w:firstLineChars="200"/>
        <w:rPr>
          <w:color w:val="auto"/>
        </w:rPr>
      </w:pPr>
      <w:r>
        <w:rPr>
          <w:rFonts w:hint="eastAsia"/>
          <w:b/>
        </w:rPr>
        <w:t>规范教学计划的安排和执行</w:t>
      </w:r>
      <w:r>
        <w:rPr>
          <w:rFonts w:hint="eastAsia"/>
        </w:rPr>
        <w:t>。会计学院严格按校历和课表进行教学安排，因公因私调停课严格按规范执行，每学期末按人才培养</w:t>
      </w:r>
      <w:r>
        <w:rPr>
          <w:rFonts w:hint="eastAsia"/>
          <w:color w:val="auto"/>
        </w:rPr>
        <w:t>方案提前完成下学期各专业开课计划表的编制，每学期均严格按开课计划表完成教学任务书的下达。目前存在问题是由于实验室建设原因导致部分实践课程实际开出时间无法与人才培养方案一致。</w:t>
      </w:r>
    </w:p>
    <w:p>
      <w:pPr>
        <w:numPr>
          <w:ilvl w:val="255"/>
          <w:numId w:val="0"/>
        </w:numPr>
        <w:tabs>
          <w:tab w:val="left" w:pos="0"/>
        </w:tabs>
        <w:spacing w:line="360" w:lineRule="auto"/>
        <w:ind w:firstLine="620" w:firstLineChars="200"/>
        <w:rPr>
          <w:rFonts w:ascii="仿宋" w:hAnsi="仿宋" w:eastAsia="仿宋" w:cs="仿宋"/>
          <w:sz w:val="31"/>
          <w:szCs w:val="31"/>
        </w:rPr>
      </w:pPr>
      <w:r>
        <w:rPr>
          <w:rFonts w:hint="eastAsia" w:ascii="仿宋" w:hAnsi="仿宋" w:eastAsia="仿宋" w:cs="仿宋"/>
          <w:sz w:val="31"/>
          <w:szCs w:val="31"/>
        </w:rPr>
        <w:t>会计学院所有教师严格遵守教学规范，全年无教学事故发生。2020年理论课程、实践课程的开出率均为100%。</w:t>
      </w:r>
    </w:p>
    <w:p>
      <w:pPr>
        <w:numPr>
          <w:ilvl w:val="255"/>
          <w:numId w:val="0"/>
        </w:numPr>
        <w:tabs>
          <w:tab w:val="left" w:pos="0"/>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20211学期的所有理论和实践课程的教学文件均使用新模板，包括教学大纲、教学进度计划、教案以及教学日志。除有个别需要整改外，其余36门课程教学文件均已按标准审核并定期归档，并且所有课程均按要求增加课程思政设计教学内容，已完成课程思政设计专项档案，形成较为完备的教学资料。 </w:t>
      </w:r>
    </w:p>
    <w:p>
      <w:pPr>
        <w:numPr>
          <w:ilvl w:val="255"/>
          <w:numId w:val="0"/>
        </w:numPr>
        <w:tabs>
          <w:tab w:val="left" w:pos="0"/>
        </w:tabs>
        <w:spacing w:line="360" w:lineRule="auto"/>
        <w:ind w:firstLine="648"/>
        <w:rPr>
          <w:rFonts w:ascii="仿宋" w:hAnsi="仿宋" w:eastAsia="仿宋" w:cs="仿宋"/>
          <w:b/>
          <w:bCs/>
          <w:sz w:val="31"/>
          <w:szCs w:val="31"/>
        </w:rPr>
      </w:pPr>
      <w:r>
        <w:rPr>
          <w:rFonts w:hint="eastAsia" w:ascii="仿宋" w:hAnsi="仿宋" w:eastAsia="仿宋" w:cs="仿宋"/>
          <w:b/>
          <w:bCs/>
          <w:sz w:val="31"/>
          <w:szCs w:val="31"/>
        </w:rPr>
        <w:t>（三）规范实验、实习教学管理</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sz w:val="32"/>
          <w:szCs w:val="32"/>
        </w:rPr>
        <w:t>完善实验实习规章制度。</w:t>
      </w:r>
      <w:r>
        <w:rPr>
          <w:rFonts w:hint="eastAsia" w:ascii="仿宋" w:hAnsi="仿宋" w:eastAsia="仿宋" w:cs="仿宋"/>
          <w:sz w:val="32"/>
          <w:szCs w:val="32"/>
        </w:rPr>
        <w:t>制定《会计学院实践教学管理实施意见》、《会计学院关于加强产学研合作管理办法》、《会计学院实验教学管理规程》等</w:t>
      </w:r>
      <w:r>
        <w:rPr>
          <w:rFonts w:hint="eastAsia" w:ascii="仿宋" w:hAnsi="仿宋" w:eastAsia="仿宋" w:cs="仿宋"/>
          <w:color w:val="auto"/>
          <w:sz w:val="32"/>
          <w:szCs w:val="32"/>
        </w:rPr>
        <w:t>文件，规范组织管理，各类实验均在主管实践教学副院长和专业教研室主任领导下采用课程负责人制，主要负责本课程的教学大纲、进度计划、教案的制定、教学档案的整理回收和本课程的青年教师的培养，多维度保障各类实验教学的规范管理。目前已开</w:t>
      </w:r>
      <w:r>
        <w:rPr>
          <w:rFonts w:hint="eastAsia" w:ascii="仿宋" w:hAnsi="仿宋" w:eastAsia="仿宋" w:cs="仿宋"/>
          <w:sz w:val="32"/>
          <w:szCs w:val="32"/>
        </w:rPr>
        <w:t>出的实践课程教学大纲均已制定完成。</w:t>
      </w:r>
    </w:p>
    <w:p>
      <w:pPr>
        <w:numPr>
          <w:ilvl w:val="255"/>
          <w:numId w:val="0"/>
        </w:numPr>
        <w:tabs>
          <w:tab w:val="left" w:pos="0"/>
        </w:tabs>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按进程推进实验室建设</w:t>
      </w:r>
      <w:r>
        <w:rPr>
          <w:rFonts w:hint="eastAsia" w:ascii="仿宋" w:hAnsi="仿宋" w:eastAsia="仿宋" w:cs="仿宋"/>
          <w:sz w:val="32"/>
          <w:szCs w:val="32"/>
        </w:rPr>
        <w:t>。由主管实践教学副院长负责实验室的建设和管理，包括前期国内调研、方案制定与专家论证、工作协调。创新校内实践教学平台建设，大力构建数字经济时代下的新型会计专业实践教学模式。目前会计学院实验室建设已进入调试验收工作阶段；按照业财融合、财务共享、大数据分析的转型线索，重新构建了会计实践教学体系。与用友网络、新道科技合作构建了共享服务转型下的“业务财务+共享服务+战略财务”实践教学平台，开发优质教育资源和研究性教学模式改革，在教育技术上突出“云”特色，正逐步形成集教学内容、教学方法、教学技术一体的云财务智慧学习中心，多屏互动、一机双屏、远程视讯、课程录播和直播、ARE虚拟仿真以及学习行为数据采集的云会计与智能财务共享实验平台，该平台能将企业优质资源带入校园，实现实验课堂和企业专家的高清互动，解决企业导师时间和空间难题。</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按规范制定各实习实验课程资料。</w:t>
      </w:r>
      <w:r>
        <w:rPr>
          <w:rFonts w:hint="eastAsia" w:ascii="仿宋" w:hAnsi="仿宋" w:eastAsia="仿宋" w:cs="仿宋"/>
          <w:sz w:val="32"/>
          <w:szCs w:val="32"/>
        </w:rPr>
        <w:t>按要求组织编写实习教学大纲，授课进度计划以及指导教师的安排，规范实践教学管理和监控，教师和学生按照课表按时上课，严格遵守上下课时间。严格按照人才培养方案中各实习实验课程的开课时间、学分、周数、学时开展实践教学，开课率达100%。</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全面采用现代信息手段参与实践教学管理。</w:t>
      </w:r>
      <w:r>
        <w:rPr>
          <w:rFonts w:hint="eastAsia" w:ascii="仿宋" w:hAnsi="仿宋" w:eastAsia="仿宋" w:cs="仿宋"/>
          <w:sz w:val="32"/>
          <w:szCs w:val="32"/>
        </w:rPr>
        <w:t>从2018级专科生的顶岗实习开始，会计学院使用校友邦、腾讯会议、QQ等加强对学生的管理，规范过程管理，对于校外实习学生执行每周一次视频通话会议指导和分院报告制度。</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严格毕业论文管理。</w:t>
      </w:r>
      <w:r>
        <w:rPr>
          <w:rFonts w:hint="eastAsia" w:ascii="仿宋" w:hAnsi="仿宋" w:eastAsia="仿宋" w:cs="仿宋"/>
          <w:sz w:val="32"/>
          <w:szCs w:val="32"/>
        </w:rPr>
        <w:t>2021届的毕业论文工作按学院要求进程开展。组织指导教师全程使用知网毕业论文系统推进论文指导工作。根据学院相关文件要求，目前已完成论文选题、撰写开题报告、第一次开题答辩。从选题开始严格把控，确保本科毕业论文质量。</w:t>
      </w:r>
    </w:p>
    <w:p>
      <w:pPr>
        <w:numPr>
          <w:ilvl w:val="255"/>
          <w:numId w:val="0"/>
        </w:numPr>
        <w:tabs>
          <w:tab w:val="left" w:pos="0"/>
        </w:tabs>
        <w:spacing w:line="360" w:lineRule="auto"/>
        <w:ind w:firstLine="643" w:firstLineChars="200"/>
        <w:rPr>
          <w:rFonts w:ascii="仿宋" w:hAnsi="仿宋" w:eastAsia="仿宋" w:cs="仿宋"/>
          <w:b/>
          <w:bCs/>
          <w:kern w:val="0"/>
          <w:sz w:val="32"/>
          <w:szCs w:val="32"/>
          <w:lang w:bidi="zh-CN"/>
        </w:rPr>
      </w:pPr>
      <w:r>
        <w:rPr>
          <w:rFonts w:hint="eastAsia" w:ascii="仿宋" w:hAnsi="仿宋" w:eastAsia="仿宋" w:cs="仿宋"/>
          <w:b/>
          <w:bCs/>
          <w:kern w:val="0"/>
          <w:sz w:val="32"/>
          <w:szCs w:val="32"/>
          <w:lang w:bidi="zh-CN"/>
        </w:rPr>
        <w:t>（四）考试管理</w:t>
      </w:r>
    </w:p>
    <w:p>
      <w:pPr>
        <w:spacing w:line="360" w:lineRule="auto"/>
        <w:ind w:firstLine="803" w:firstLineChars="250"/>
        <w:rPr>
          <w:rFonts w:ascii="仿宋" w:hAnsi="仿宋" w:eastAsia="仿宋" w:cs="仿宋"/>
          <w:kern w:val="0"/>
          <w:sz w:val="32"/>
          <w:szCs w:val="32"/>
          <w:lang w:bidi="zh-CN"/>
        </w:rPr>
      </w:pPr>
      <w:r>
        <w:rPr>
          <w:rFonts w:hint="eastAsia" w:ascii="仿宋" w:hAnsi="仿宋" w:eastAsia="仿宋" w:cs="仿宋"/>
          <w:b/>
          <w:sz w:val="32"/>
          <w:szCs w:val="32"/>
        </w:rPr>
        <w:t>进一步明确考试和考核课程审批流程及要求</w:t>
      </w:r>
      <w:r>
        <w:rPr>
          <w:rFonts w:hint="eastAsia" w:ascii="仿宋" w:hAnsi="仿宋" w:eastAsia="仿宋" w:cs="仿宋"/>
          <w:sz w:val="32"/>
          <w:szCs w:val="32"/>
        </w:rPr>
        <w:t>。按照人才培养要求，结合会计学院专业课程（包括专业主干课程和专业选修课程）实际，制定《会计学院课程考核管理办法》</w:t>
      </w:r>
      <w:bookmarkStart w:id="1" w:name="_Toc338494216"/>
      <w:bookmarkStart w:id="2" w:name="_Toc338772890"/>
      <w:r>
        <w:rPr>
          <w:rFonts w:hint="eastAsia" w:ascii="仿宋" w:hAnsi="仿宋" w:eastAsia="仿宋" w:cs="仿宋"/>
          <w:sz w:val="32"/>
          <w:szCs w:val="32"/>
        </w:rPr>
        <w:t>、《会计学院教学过程管理办法</w:t>
      </w:r>
      <w:bookmarkEnd w:id="1"/>
      <w:bookmarkEnd w:id="2"/>
      <w:r>
        <w:rPr>
          <w:rFonts w:hint="eastAsia" w:ascii="仿宋" w:hAnsi="仿宋" w:eastAsia="仿宋" w:cs="仿宋"/>
          <w:sz w:val="32"/>
          <w:szCs w:val="32"/>
        </w:rPr>
        <w:t>》和《会计学院考试工作暂行规定》，强化课程考核的规范化管理</w:t>
      </w:r>
      <w:r>
        <w:rPr>
          <w:rFonts w:hint="eastAsia" w:ascii="仿宋" w:hAnsi="仿宋" w:eastAsia="仿宋" w:cs="仿宋"/>
          <w:kern w:val="0"/>
          <w:sz w:val="32"/>
          <w:szCs w:val="32"/>
          <w:lang w:bidi="zh-CN"/>
        </w:rPr>
        <w:t>。考试课由教科办统一安排，考查课由各教研室组织完成。严格审批试卷和过程化考核方案，并按规定流程和时间节点提交教务处。</w:t>
      </w:r>
    </w:p>
    <w:p>
      <w:pPr>
        <w:numPr>
          <w:ilvl w:val="255"/>
          <w:numId w:val="0"/>
        </w:numPr>
        <w:tabs>
          <w:tab w:val="left" w:pos="0"/>
        </w:tabs>
        <w:spacing w:line="360" w:lineRule="auto"/>
        <w:ind w:firstLine="643" w:firstLineChars="200"/>
        <w:rPr>
          <w:rFonts w:ascii="仿宋" w:hAnsi="仿宋" w:eastAsia="仿宋" w:cs="仿宋"/>
          <w:kern w:val="0"/>
          <w:sz w:val="32"/>
          <w:szCs w:val="32"/>
          <w:lang w:bidi="zh-CN"/>
        </w:rPr>
      </w:pPr>
      <w:r>
        <w:rPr>
          <w:rFonts w:hint="eastAsia" w:ascii="仿宋" w:hAnsi="仿宋" w:eastAsia="仿宋" w:cs="仿宋"/>
          <w:b/>
          <w:kern w:val="0"/>
          <w:sz w:val="32"/>
          <w:szCs w:val="32"/>
          <w:lang w:bidi="zh-CN"/>
        </w:rPr>
        <w:t>规范试卷命题、审核、保管，积极推行无纸化考试</w:t>
      </w:r>
      <w:r>
        <w:rPr>
          <w:rFonts w:hint="eastAsia" w:ascii="仿宋" w:hAnsi="仿宋" w:eastAsia="仿宋" w:cs="仿宋"/>
          <w:kern w:val="0"/>
          <w:sz w:val="32"/>
          <w:szCs w:val="32"/>
          <w:lang w:bidi="zh-CN"/>
        </w:rPr>
        <w:t>。命题开始前，各教研室、课程组负责人按照学校本科考试试卷管理办法提出要求，编写命题计划，以此指导每章题型、题量等；命题过程中要求老师注意试卷的保密，不得在教师办公室的办公电脑上留存试卷电子版，纸质废卷要求当场用碎纸机粉碎；教研室主任审核试卷要求人不离卷；对于教学副院长审核导致教科办未能及时提交的试卷，应按要求放入保险柜保管。积极开展课程考核改革，鼓励实行无纸化考试，推动主干课程试题库建设，建立主干课程考试题库，为推进考教分离做准备，目前正在建设的有中级财务会计、财务管理、会计学、基础会计学课程题库。</w:t>
      </w:r>
    </w:p>
    <w:p>
      <w:pPr>
        <w:numPr>
          <w:ilvl w:val="255"/>
          <w:numId w:val="0"/>
        </w:numPr>
        <w:tabs>
          <w:tab w:val="left" w:pos="0"/>
        </w:tabs>
        <w:spacing w:line="360" w:lineRule="auto"/>
        <w:ind w:firstLine="643" w:firstLineChars="200"/>
        <w:rPr>
          <w:rFonts w:ascii="仿宋" w:hAnsi="仿宋" w:eastAsia="仿宋" w:cs="仿宋"/>
          <w:kern w:val="0"/>
          <w:sz w:val="32"/>
          <w:szCs w:val="32"/>
          <w:lang w:bidi="zh-CN"/>
        </w:rPr>
      </w:pPr>
      <w:r>
        <w:rPr>
          <w:rFonts w:hint="eastAsia" w:ascii="仿宋" w:hAnsi="仿宋" w:eastAsia="仿宋" w:cs="仿宋"/>
          <w:b/>
          <w:kern w:val="0"/>
          <w:sz w:val="32"/>
          <w:szCs w:val="32"/>
          <w:lang w:bidi="zh-CN"/>
        </w:rPr>
        <w:t>全面开展诚信考试</w:t>
      </w:r>
      <w:r>
        <w:rPr>
          <w:rFonts w:hint="eastAsia" w:ascii="仿宋" w:hAnsi="仿宋" w:eastAsia="仿宋" w:cs="仿宋"/>
          <w:kern w:val="0"/>
          <w:sz w:val="32"/>
          <w:szCs w:val="32"/>
          <w:lang w:bidi="zh-CN"/>
        </w:rPr>
        <w:t>。定期组织召开诚信教育主题班会，对学生进行诚信教育，强化学生诚信考试教育。要求全体参考学生签订诚信考试承诺书。</w:t>
      </w:r>
    </w:p>
    <w:p>
      <w:pPr>
        <w:numPr>
          <w:ilvl w:val="255"/>
          <w:numId w:val="0"/>
        </w:numPr>
        <w:tabs>
          <w:tab w:val="left" w:pos="0"/>
        </w:tabs>
        <w:spacing w:line="360" w:lineRule="auto"/>
        <w:ind w:firstLine="643" w:firstLineChars="200"/>
        <w:rPr>
          <w:rFonts w:ascii="仿宋" w:hAnsi="仿宋" w:eastAsia="仿宋" w:cs="仿宋"/>
          <w:kern w:val="0"/>
          <w:sz w:val="32"/>
          <w:szCs w:val="32"/>
          <w:lang w:bidi="zh-CN"/>
        </w:rPr>
      </w:pPr>
      <w:r>
        <w:rPr>
          <w:rFonts w:hint="eastAsia" w:ascii="仿宋" w:hAnsi="仿宋" w:eastAsia="仿宋" w:cs="仿宋"/>
          <w:b/>
          <w:kern w:val="0"/>
          <w:sz w:val="32"/>
          <w:szCs w:val="32"/>
          <w:lang w:bidi="zh-CN"/>
        </w:rPr>
        <w:t>进一步明确考务工作职责</w:t>
      </w:r>
      <w:r>
        <w:rPr>
          <w:rFonts w:hint="eastAsia" w:ascii="仿宋" w:hAnsi="仿宋" w:eastAsia="仿宋" w:cs="仿宋"/>
          <w:kern w:val="0"/>
          <w:sz w:val="32"/>
          <w:szCs w:val="32"/>
          <w:lang w:bidi="zh-CN"/>
        </w:rPr>
        <w:t>。无论学校还是分院组织的各级各类考试，均要求老师严格遵守监考教师监考职责，按时签到、按时领取试卷、严格按照监考规范进行监考。对在监考过程中出现的不认真履行职责等问题，一定严肃处理。目前学院已根据教学事故认定相关管理办法对2名教师进行处理或批评教育。</w:t>
      </w:r>
    </w:p>
    <w:p>
      <w:pPr>
        <w:numPr>
          <w:ilvl w:val="255"/>
          <w:numId w:val="0"/>
        </w:numPr>
        <w:tabs>
          <w:tab w:val="left" w:pos="0"/>
        </w:tabs>
        <w:spacing w:line="360" w:lineRule="auto"/>
        <w:ind w:firstLine="643" w:firstLineChars="200"/>
        <w:rPr>
          <w:rFonts w:ascii="仿宋" w:hAnsi="仿宋" w:eastAsia="仿宋" w:cs="仿宋"/>
          <w:kern w:val="0"/>
          <w:sz w:val="32"/>
          <w:szCs w:val="32"/>
          <w:lang w:bidi="zh-CN"/>
        </w:rPr>
      </w:pPr>
      <w:r>
        <w:rPr>
          <w:rFonts w:hint="eastAsia" w:ascii="仿宋" w:hAnsi="仿宋" w:eastAsia="仿宋" w:cs="仿宋"/>
          <w:b/>
          <w:kern w:val="0"/>
          <w:sz w:val="32"/>
          <w:szCs w:val="32"/>
          <w:lang w:bidi="zh-CN"/>
        </w:rPr>
        <w:t>规范试卷批改和归档过程。</w:t>
      </w:r>
      <w:r>
        <w:rPr>
          <w:rFonts w:hint="eastAsia" w:ascii="仿宋" w:hAnsi="仿宋" w:eastAsia="仿宋" w:cs="仿宋"/>
          <w:kern w:val="0"/>
          <w:sz w:val="32"/>
          <w:szCs w:val="32"/>
          <w:lang w:bidi="zh-CN"/>
        </w:rPr>
        <w:t>按本科考试试卷管理办法和评估中心下发的试卷规范进行评阅、分析和装订，对于班级考试成绩不符合正态分布规律的课程教师，要求提交说明报告，提出试卷批改要求。成绩录入和试卷分析应有效体现考试和教学效果。</w:t>
      </w:r>
    </w:p>
    <w:p>
      <w:pPr>
        <w:numPr>
          <w:ilvl w:val="255"/>
          <w:numId w:val="0"/>
        </w:numPr>
        <w:tabs>
          <w:tab w:val="left" w:pos="0"/>
        </w:tabs>
        <w:spacing w:line="360" w:lineRule="auto"/>
        <w:ind w:firstLine="620" w:firstLineChars="200"/>
        <w:rPr>
          <w:rFonts w:ascii="仿宋" w:hAnsi="仿宋" w:eastAsia="仿宋" w:cs="仿宋"/>
          <w:sz w:val="31"/>
          <w:szCs w:val="31"/>
        </w:rPr>
      </w:pPr>
      <w:r>
        <w:rPr>
          <w:rFonts w:hint="eastAsia" w:ascii="仿宋" w:hAnsi="仿宋" w:eastAsia="仿宋" w:cs="仿宋"/>
          <w:sz w:val="31"/>
          <w:szCs w:val="31"/>
        </w:rPr>
        <w:t>在本学期初对19202学期期末试卷检查中，除个别试卷存在批改不规范问题外，绝大部分试卷批改和成绩分析符合规范。</w:t>
      </w:r>
    </w:p>
    <w:p>
      <w:pPr>
        <w:numPr>
          <w:ilvl w:val="255"/>
          <w:numId w:val="0"/>
        </w:numPr>
        <w:tabs>
          <w:tab w:val="left" w:pos="0"/>
        </w:tabs>
        <w:spacing w:line="360" w:lineRule="auto"/>
        <w:ind w:firstLine="643" w:firstLineChars="200"/>
        <w:rPr>
          <w:rFonts w:ascii="仿宋" w:hAnsi="仿宋" w:eastAsia="仿宋" w:cs="仿宋"/>
          <w:b/>
          <w:bCs/>
          <w:kern w:val="0"/>
          <w:sz w:val="32"/>
          <w:szCs w:val="32"/>
          <w:lang w:bidi="zh-CN"/>
        </w:rPr>
      </w:pPr>
      <w:r>
        <w:rPr>
          <w:rFonts w:hint="eastAsia" w:ascii="仿宋" w:hAnsi="仿宋" w:eastAsia="仿宋" w:cs="仿宋"/>
          <w:b/>
          <w:bCs/>
          <w:kern w:val="0"/>
          <w:sz w:val="32"/>
          <w:szCs w:val="32"/>
          <w:lang w:bidi="zh-CN"/>
        </w:rPr>
        <w:t>（五）学籍管理</w:t>
      </w:r>
    </w:p>
    <w:p>
      <w:pPr>
        <w:numPr>
          <w:ilvl w:val="255"/>
          <w:numId w:val="0"/>
        </w:numPr>
        <w:tabs>
          <w:tab w:val="left" w:pos="0"/>
        </w:tabs>
        <w:spacing w:line="360" w:lineRule="auto"/>
        <w:ind w:firstLine="640" w:firstLineChars="200"/>
        <w:rPr>
          <w:rFonts w:ascii="仿宋" w:hAnsi="仿宋" w:eastAsia="仿宋" w:cs="仿宋"/>
          <w:kern w:val="0"/>
          <w:sz w:val="32"/>
          <w:szCs w:val="32"/>
          <w:lang w:bidi="zh-CN"/>
        </w:rPr>
      </w:pPr>
      <w:r>
        <w:rPr>
          <w:rFonts w:hint="eastAsia" w:ascii="仿宋" w:hAnsi="仿宋" w:eastAsia="仿宋" w:cs="仿宋"/>
          <w:kern w:val="0"/>
          <w:sz w:val="32"/>
          <w:szCs w:val="32"/>
          <w:lang w:bidi="zh-CN"/>
        </w:rPr>
        <w:t>严格执行《贵州商学院学生学籍管理规定（修订）》，对学生入学注册、学年注册、毕业注册都进行从个人、班级到分院的信息核对，在规定的时限内完成学籍管理工作。学生学习期间的休学、退学、复学等，按照程序逐级审批处理和上报，学籍档案逐步实现规范化；对转专业、结业学生的成绩与学籍档案资料的变更，均严格按有关规定程序执行。建立学历预警科教办、学工办联动处理机制，确保信息及时反馈到学生及家长。</w:t>
      </w:r>
    </w:p>
    <w:p>
      <w:pPr>
        <w:numPr>
          <w:ilvl w:val="255"/>
          <w:numId w:val="0"/>
        </w:numPr>
        <w:tabs>
          <w:tab w:val="left" w:pos="0"/>
        </w:tabs>
        <w:spacing w:line="360" w:lineRule="auto"/>
        <w:ind w:firstLine="643" w:firstLineChars="200"/>
        <w:rPr>
          <w:rFonts w:ascii="仿宋" w:hAnsi="仿宋" w:eastAsia="仿宋" w:cs="仿宋"/>
          <w:b/>
          <w:bCs/>
          <w:kern w:val="0"/>
          <w:sz w:val="32"/>
          <w:szCs w:val="32"/>
          <w:lang w:bidi="zh-CN"/>
        </w:rPr>
      </w:pPr>
      <w:r>
        <w:rPr>
          <w:rFonts w:hint="eastAsia" w:ascii="仿宋" w:hAnsi="仿宋" w:eastAsia="仿宋" w:cs="仿宋"/>
          <w:b/>
          <w:bCs/>
          <w:kern w:val="0"/>
          <w:sz w:val="32"/>
          <w:szCs w:val="32"/>
          <w:lang w:bidi="zh-CN"/>
        </w:rPr>
        <w:t>（六）规范学科与专业建设</w:t>
      </w:r>
    </w:p>
    <w:p>
      <w:pPr>
        <w:ind w:firstLine="803" w:firstLineChars="250"/>
        <w:jc w:val="left"/>
        <w:rPr>
          <w:rFonts w:ascii="仿宋" w:hAnsi="仿宋" w:eastAsia="仿宋" w:cs="仿宋"/>
          <w:kern w:val="0"/>
          <w:sz w:val="32"/>
          <w:szCs w:val="32"/>
          <w:lang w:bidi="zh-CN"/>
        </w:rPr>
      </w:pPr>
      <w:r>
        <w:rPr>
          <w:rFonts w:hint="eastAsia" w:ascii="仿宋" w:hAnsi="仿宋" w:eastAsia="仿宋" w:cs="仿宋"/>
          <w:b/>
          <w:kern w:val="0"/>
          <w:sz w:val="32"/>
          <w:szCs w:val="32"/>
          <w:lang w:bidi="zh-CN"/>
        </w:rPr>
        <w:t>制定会计学院学科建设发展规划，明确发展目标。</w:t>
      </w:r>
      <w:r>
        <w:rPr>
          <w:rFonts w:hint="eastAsia" w:ascii="仿宋" w:hAnsi="仿宋" w:eastAsia="仿宋" w:cs="仿宋"/>
          <w:kern w:val="0"/>
          <w:sz w:val="32"/>
          <w:szCs w:val="32"/>
          <w:lang w:bidi="zh-CN"/>
        </w:rPr>
        <w:t>抓住“双</w:t>
      </w:r>
      <w:r>
        <w:rPr>
          <w:rFonts w:hint="eastAsia" w:ascii="仿宋" w:hAnsi="仿宋" w:eastAsia="仿宋" w:cs="仿宋"/>
          <w:color w:val="auto"/>
          <w:kern w:val="0"/>
          <w:sz w:val="32"/>
          <w:szCs w:val="32"/>
          <w:lang w:bidi="zh-CN"/>
        </w:rPr>
        <w:t>一流”建设契机，以建设一流本科专业为目标，制定并实施《会计学院学科建设发展规划》、《会计学专业建设发展规划》《财务管理专业建设发展规划》《审计学专业建设发展规划》，为贯彻落实学院《新商科本科教育教学综合改革方案》，制订《全</w:t>
      </w:r>
      <w:r>
        <w:rPr>
          <w:rFonts w:hint="eastAsia" w:ascii="仿宋" w:hAnsi="仿宋" w:eastAsia="仿宋" w:cs="仿宋"/>
          <w:kern w:val="0"/>
          <w:sz w:val="32"/>
          <w:szCs w:val="32"/>
          <w:lang w:bidi="zh-CN"/>
        </w:rPr>
        <w:t>力推进会计学院“五改两建”工作的实施意见》。会计学已被立为校级重点特色学科建设，</w:t>
      </w:r>
      <w:r>
        <w:rPr>
          <w:rFonts w:hint="eastAsia" w:ascii="仿宋" w:hAnsi="仿宋" w:eastAsia="仿宋" w:cs="仿宋"/>
          <w:sz w:val="32"/>
          <w:szCs w:val="32"/>
        </w:rPr>
        <w:t>着重科研团队的建设，努力建设大数据与智能化会计、公司治理与财务管理、经济责任审计三个学科团队。分院省级一流会计学专业”顺利参与结项验，以良好等次通过。</w:t>
      </w:r>
    </w:p>
    <w:p>
      <w:pPr>
        <w:numPr>
          <w:ilvl w:val="255"/>
          <w:numId w:val="0"/>
        </w:numPr>
        <w:tabs>
          <w:tab w:val="left" w:pos="0"/>
        </w:tabs>
        <w:spacing w:line="360" w:lineRule="auto"/>
        <w:ind w:firstLine="643" w:firstLineChars="200"/>
        <w:rPr>
          <w:rFonts w:ascii="仿宋" w:hAnsi="仿宋" w:eastAsia="仿宋" w:cs="仿宋"/>
          <w:sz w:val="32"/>
          <w:szCs w:val="32"/>
        </w:rPr>
      </w:pPr>
      <w:r>
        <w:rPr>
          <w:rFonts w:hint="eastAsia" w:ascii="仿宋" w:hAnsi="仿宋" w:eastAsia="仿宋" w:cs="仿宋"/>
          <w:b/>
          <w:kern w:val="0"/>
          <w:sz w:val="32"/>
          <w:szCs w:val="32"/>
          <w:lang w:bidi="zh-CN"/>
        </w:rPr>
        <w:t>加快一流专业建设</w:t>
      </w:r>
      <w:r>
        <w:rPr>
          <w:rFonts w:hint="eastAsia" w:ascii="仿宋" w:hAnsi="仿宋" w:eastAsia="仿宋" w:cs="仿宋"/>
          <w:kern w:val="0"/>
          <w:sz w:val="32"/>
          <w:szCs w:val="32"/>
          <w:lang w:bidi="zh-CN"/>
        </w:rPr>
        <w:t>。突出新商科专业优势特色，规避本校与同类院校专业发展的同质化问题，通过差异化发展不断增强会计学、财务管理、审计学专业实力，会计学完成省级一流专业建设的同时，积极申报国家级一流专业，加快财务管理和审计学进入省内一流专业的行列。健全专业负责人的选拔机制。</w:t>
      </w:r>
    </w:p>
    <w:p>
      <w:pPr>
        <w:numPr>
          <w:ilvl w:val="255"/>
          <w:numId w:val="0"/>
        </w:numPr>
        <w:tabs>
          <w:tab w:val="left" w:pos="0"/>
        </w:tabs>
        <w:spacing w:line="360" w:lineRule="auto"/>
        <w:ind w:firstLine="622" w:firstLineChars="200"/>
        <w:rPr>
          <w:rFonts w:ascii="仿宋" w:hAnsi="仿宋" w:eastAsia="仿宋" w:cs="仿宋"/>
          <w:kern w:val="0"/>
          <w:sz w:val="32"/>
          <w:szCs w:val="32"/>
          <w:lang w:bidi="zh-CN"/>
        </w:rPr>
      </w:pPr>
      <w:r>
        <w:rPr>
          <w:rFonts w:hint="eastAsia" w:ascii="仿宋" w:hAnsi="仿宋" w:eastAsia="仿宋" w:cs="仿宋"/>
          <w:b/>
          <w:sz w:val="31"/>
          <w:szCs w:val="31"/>
        </w:rPr>
        <w:t>全面构建新商科课程体系</w:t>
      </w:r>
      <w:r>
        <w:rPr>
          <w:rFonts w:hint="eastAsia" w:ascii="仿宋" w:hAnsi="仿宋" w:eastAsia="仿宋" w:cs="仿宋"/>
          <w:sz w:val="31"/>
          <w:szCs w:val="31"/>
        </w:rPr>
        <w:t>。依据《普通高等学校本科专业教学质量国家标准》，按照工商管理类、会计学专业国家标准制定人才培养方案、构建课程体系，</w:t>
      </w:r>
      <w:r>
        <w:rPr>
          <w:rFonts w:hint="eastAsia" w:ascii="仿宋" w:hAnsi="仿宋" w:eastAsia="仿宋" w:cs="仿宋"/>
          <w:sz w:val="32"/>
          <w:szCs w:val="32"/>
        </w:rPr>
        <w:t>2019级和2020级人才培养方案在遵循工商管理类、会计学专业国家标准制定人才培养方案、构建课程体系的前提下，全面体现新商科人才培养特色。基本构建了价值塑造、能力培养、知识传授“三位一体”的应用型人才培养教育模式。</w:t>
      </w:r>
    </w:p>
    <w:p>
      <w:pPr>
        <w:numPr>
          <w:ilvl w:val="255"/>
          <w:numId w:val="0"/>
        </w:numPr>
        <w:tabs>
          <w:tab w:val="left" w:pos="0"/>
        </w:tabs>
        <w:spacing w:line="360" w:lineRule="auto"/>
        <w:ind w:firstLine="643" w:firstLineChars="200"/>
        <w:rPr>
          <w:rFonts w:ascii="仿宋" w:hAnsi="仿宋" w:eastAsia="仿宋" w:cs="仿宋"/>
          <w:b/>
          <w:bCs/>
          <w:kern w:val="0"/>
          <w:sz w:val="32"/>
          <w:szCs w:val="32"/>
          <w:lang w:bidi="zh-CN"/>
        </w:rPr>
      </w:pPr>
      <w:r>
        <w:rPr>
          <w:rFonts w:hint="eastAsia" w:ascii="仿宋" w:hAnsi="仿宋" w:eastAsia="仿宋" w:cs="仿宋"/>
          <w:b/>
          <w:bCs/>
          <w:kern w:val="0"/>
          <w:sz w:val="32"/>
          <w:szCs w:val="32"/>
          <w:lang w:bidi="zh-CN"/>
        </w:rPr>
        <w:t>（七）规范课程、教材、教学团队建设</w:t>
      </w:r>
    </w:p>
    <w:p>
      <w:pPr>
        <w:numPr>
          <w:ilvl w:val="255"/>
          <w:numId w:val="0"/>
        </w:numPr>
        <w:tabs>
          <w:tab w:val="left" w:pos="0"/>
        </w:tabs>
        <w:spacing w:line="360" w:lineRule="auto"/>
        <w:ind w:firstLine="643" w:firstLineChars="200"/>
        <w:rPr>
          <w:rFonts w:ascii="仿宋" w:hAnsi="仿宋" w:eastAsia="仿宋" w:cs="仿宋"/>
          <w:sz w:val="32"/>
          <w:szCs w:val="32"/>
        </w:rPr>
      </w:pPr>
      <w:r>
        <w:rPr>
          <w:rFonts w:hint="eastAsia" w:ascii="仿宋" w:hAnsi="仿宋" w:eastAsia="仿宋" w:cs="仿宋"/>
          <w:b/>
          <w:kern w:val="0"/>
          <w:sz w:val="32"/>
          <w:szCs w:val="32"/>
          <w:lang w:bidi="zh-CN"/>
        </w:rPr>
        <w:t>高度重视课程团队建设</w:t>
      </w:r>
      <w:r>
        <w:rPr>
          <w:rFonts w:hint="eastAsia" w:ascii="仿宋" w:hAnsi="仿宋" w:eastAsia="仿宋" w:cs="仿宋"/>
          <w:kern w:val="0"/>
          <w:sz w:val="32"/>
          <w:szCs w:val="32"/>
          <w:lang w:bidi="zh-CN"/>
        </w:rPr>
        <w:t>。目前已</w:t>
      </w:r>
      <w:r>
        <w:rPr>
          <w:rFonts w:hint="eastAsia" w:ascii="仿宋" w:hAnsi="仿宋" w:eastAsia="仿宋" w:cs="仿宋"/>
          <w:sz w:val="32"/>
          <w:szCs w:val="32"/>
        </w:rPr>
        <w:t>组建基础会计学、会计学、中级财务会计、成本会计、会计报表编制与分析、财务管理、审计学、会计信息系统、</w:t>
      </w:r>
      <w:r>
        <w:rPr>
          <w:rFonts w:hint="eastAsia" w:ascii="仿宋" w:hAnsi="仿宋" w:eastAsia="仿宋" w:cs="仿宋"/>
          <w:sz w:val="32"/>
          <w:szCs w:val="32"/>
          <w:lang w:val="en-US" w:eastAsia="zh-CN"/>
        </w:rPr>
        <w:t>财务管理</w:t>
      </w:r>
      <w:r>
        <w:rPr>
          <w:rFonts w:hint="eastAsia" w:ascii="仿宋" w:hAnsi="仿宋" w:eastAsia="仿宋" w:cs="仿宋"/>
          <w:sz w:val="32"/>
          <w:szCs w:val="32"/>
        </w:rPr>
        <w:t>双语教学等9个院级课程教学团队和1个实验教学团队。为加快推动建设校级、省级优秀教学团队打下基础。学院对新教师要求进行一、二轮全程跟班听课，目前分院二级督学已完成对刘婷婷、何涔成、黄平、董培伶听课督评和指导。</w:t>
      </w:r>
    </w:p>
    <w:p>
      <w:pPr>
        <w:numPr>
          <w:ilvl w:val="255"/>
          <w:numId w:val="0"/>
        </w:numPr>
        <w:tabs>
          <w:tab w:val="left" w:pos="0"/>
        </w:tabs>
        <w:spacing w:line="360" w:lineRule="auto"/>
        <w:ind w:firstLine="422" w:firstLineChars="200"/>
        <w:rPr>
          <w:rFonts w:ascii="仿宋" w:hAnsi="仿宋" w:eastAsia="仿宋" w:cs="仿宋"/>
          <w:kern w:val="0"/>
          <w:sz w:val="32"/>
          <w:szCs w:val="32"/>
          <w:lang w:bidi="zh-CN"/>
        </w:rPr>
      </w:pPr>
      <w:r>
        <w:rPr>
          <w:rFonts w:hint="eastAsia"/>
          <w:b/>
        </w:rPr>
        <w:t xml:space="preserve"> </w:t>
      </w:r>
      <w:r>
        <w:rPr>
          <w:rFonts w:hint="eastAsia" w:ascii="仿宋" w:hAnsi="仿宋" w:eastAsia="仿宋" w:cs="仿宋"/>
          <w:b/>
          <w:kern w:val="0"/>
          <w:sz w:val="32"/>
          <w:szCs w:val="32"/>
          <w:lang w:bidi="zh-CN"/>
        </w:rPr>
        <w:t>制定专业课程建设规划、推动课程改革</w:t>
      </w:r>
      <w:r>
        <w:rPr>
          <w:rFonts w:hint="eastAsia" w:ascii="仿宋" w:hAnsi="仿宋" w:eastAsia="仿宋" w:cs="仿宋"/>
          <w:kern w:val="0"/>
          <w:sz w:val="32"/>
          <w:szCs w:val="32"/>
          <w:lang w:bidi="zh-CN"/>
        </w:rPr>
        <w:t>。从2017、2018级试行、2019级起正式执行，每一门专业课程均建立课程负责人，已经启动《中级财务会计》、《基础会计学》、《财务管理》等一流课程建设。改革教材选用，对《财务管理双语》、《财务大数据分析与挖掘》课程采用主教材和辅教材相结合的形式，学生主要以课件PPT内容为主学习。并把当前关于财务管理的案例增加到课程中，形成独特的教材+资讯的授课形式，即能保证课程贯穿重难点，又能提升课程知识的全面性和丰富性。</w:t>
      </w:r>
    </w:p>
    <w:p>
      <w:pPr>
        <w:numPr>
          <w:ilvl w:val="255"/>
          <w:numId w:val="0"/>
        </w:numPr>
        <w:tabs>
          <w:tab w:val="left" w:pos="0"/>
        </w:tabs>
        <w:spacing w:line="360" w:lineRule="auto"/>
        <w:ind w:firstLine="643" w:firstLineChars="200"/>
        <w:rPr>
          <w:rFonts w:ascii="仿宋" w:hAnsi="仿宋" w:eastAsia="仿宋" w:cs="仿宋"/>
          <w:b/>
          <w:bCs/>
          <w:kern w:val="0"/>
          <w:sz w:val="32"/>
          <w:szCs w:val="32"/>
          <w:lang w:bidi="zh-CN"/>
        </w:rPr>
      </w:pPr>
      <w:r>
        <w:rPr>
          <w:rFonts w:hint="eastAsia" w:ascii="仿宋" w:hAnsi="仿宋" w:eastAsia="仿宋" w:cs="仿宋"/>
          <w:b/>
          <w:bCs/>
          <w:kern w:val="0"/>
          <w:sz w:val="32"/>
          <w:szCs w:val="32"/>
          <w:lang w:bidi="zh-CN"/>
        </w:rPr>
        <w:t>（八）规范教学研究项目、教师培训和教学资源管理</w:t>
      </w:r>
    </w:p>
    <w:p>
      <w:pPr>
        <w:numPr>
          <w:ilvl w:val="255"/>
          <w:numId w:val="0"/>
        </w:numPr>
        <w:tabs>
          <w:tab w:val="left" w:pos="0"/>
        </w:tabs>
        <w:spacing w:line="360" w:lineRule="auto"/>
        <w:ind w:firstLine="640" w:firstLineChars="200"/>
        <w:rPr>
          <w:rFonts w:ascii="仿宋" w:hAnsi="仿宋" w:eastAsia="仿宋" w:cs="仿宋"/>
          <w:kern w:val="0"/>
          <w:sz w:val="32"/>
          <w:szCs w:val="32"/>
          <w:lang w:bidi="zh-CN"/>
        </w:rPr>
      </w:pPr>
      <w:r>
        <w:rPr>
          <w:rFonts w:hint="eastAsia" w:ascii="仿宋" w:hAnsi="仿宋" w:eastAsia="仿宋" w:cs="仿宋"/>
          <w:kern w:val="0"/>
          <w:sz w:val="32"/>
          <w:szCs w:val="32"/>
          <w:lang w:bidi="zh-CN"/>
        </w:rPr>
        <w:t>积极搭建专业发展平台，多渠道、多形式加强师资队伍建设，努力提升本专业人才培养、科学研究以及服务社会的水平和质量，在课题申报、论文发表、教学改革等方面有新的突破。以课程带动教学团队建设，建立教师培训管理制度，加强对青年教师的培养，定期组织青年教师说课。</w:t>
      </w:r>
    </w:p>
    <w:p>
      <w:pPr>
        <w:numPr>
          <w:ilvl w:val="255"/>
          <w:numId w:val="0"/>
        </w:numPr>
        <w:tabs>
          <w:tab w:val="left" w:pos="0"/>
        </w:tabs>
        <w:spacing w:line="360" w:lineRule="auto"/>
        <w:ind w:firstLine="643" w:firstLineChars="200"/>
        <w:rPr>
          <w:rFonts w:ascii="仿宋" w:hAnsi="仿宋" w:eastAsia="仿宋" w:cs="仿宋"/>
          <w:b/>
          <w:bCs/>
          <w:kern w:val="0"/>
          <w:sz w:val="32"/>
          <w:szCs w:val="32"/>
          <w:lang w:bidi="zh-CN"/>
        </w:rPr>
      </w:pPr>
      <w:r>
        <w:rPr>
          <w:rFonts w:hint="eastAsia" w:ascii="仿宋" w:hAnsi="仿宋" w:eastAsia="仿宋" w:cs="仿宋"/>
          <w:b/>
          <w:bCs/>
          <w:kern w:val="0"/>
          <w:sz w:val="32"/>
          <w:szCs w:val="32"/>
          <w:lang w:bidi="zh-CN"/>
        </w:rPr>
        <w:t>（九）教学档案及信息化管理</w:t>
      </w:r>
    </w:p>
    <w:p>
      <w:pPr>
        <w:numPr>
          <w:ilvl w:val="255"/>
          <w:numId w:val="0"/>
        </w:numPr>
        <w:tabs>
          <w:tab w:val="left" w:pos="0"/>
        </w:tabs>
        <w:spacing w:line="360" w:lineRule="auto"/>
        <w:ind w:firstLine="620" w:firstLineChars="200"/>
        <w:rPr>
          <w:rFonts w:ascii="仿宋" w:hAnsi="仿宋" w:eastAsia="仿宋" w:cs="仿宋"/>
          <w:sz w:val="31"/>
          <w:szCs w:val="31"/>
        </w:rPr>
      </w:pPr>
      <w:r>
        <w:rPr>
          <w:rFonts w:hint="eastAsia" w:ascii="仿宋" w:hAnsi="仿宋" w:eastAsia="仿宋" w:cs="仿宋"/>
          <w:sz w:val="31"/>
          <w:szCs w:val="31"/>
        </w:rPr>
        <w:t>将会计学院教学档案分纸质和电子两大类，教学档案的形式、内容与存档年限按学院规定执行，由专人负责教学档案。</w:t>
      </w:r>
    </w:p>
    <w:p>
      <w:pPr>
        <w:numPr>
          <w:ilvl w:val="255"/>
          <w:numId w:val="0"/>
        </w:numPr>
        <w:tabs>
          <w:tab w:val="left" w:pos="0"/>
        </w:tabs>
        <w:spacing w:line="360" w:lineRule="auto"/>
        <w:rPr>
          <w:rFonts w:ascii="仿宋" w:hAnsi="仿宋" w:eastAsia="仿宋" w:cs="仿宋"/>
          <w:sz w:val="31"/>
          <w:szCs w:val="31"/>
        </w:rPr>
      </w:pPr>
      <w:r>
        <w:rPr>
          <w:rFonts w:hint="eastAsia" w:ascii="仿宋" w:hAnsi="仿宋" w:eastAsia="仿宋" w:cs="仿宋"/>
          <w:sz w:val="31"/>
          <w:szCs w:val="31"/>
        </w:rPr>
        <w:t>根据教学常规管理的要求，将期初、期中、期末和阶段性教学资料进行分类汇总和管理，以会计学、财务管理专业学士学位授予权的评估支撑材料和年终目标考核资料的汇总为主要形式，各项教学资料存放于会计学院资料室，包括教师档案、教学质量监控、教学运行、实践教学资料、期末试卷、学生成绩、毕业论文（设计）等资料和成果。</w:t>
      </w:r>
    </w:p>
    <w:p>
      <w:pPr>
        <w:numPr>
          <w:ilvl w:val="255"/>
          <w:numId w:val="0"/>
        </w:numPr>
        <w:tabs>
          <w:tab w:val="left" w:pos="0"/>
        </w:tabs>
        <w:spacing w:line="360" w:lineRule="auto"/>
        <w:ind w:firstLine="643" w:firstLineChars="200"/>
        <w:rPr>
          <w:rFonts w:ascii="仿宋" w:hAnsi="仿宋" w:eastAsia="仿宋" w:cs="仿宋"/>
          <w:b/>
          <w:bCs/>
          <w:kern w:val="0"/>
          <w:sz w:val="32"/>
          <w:szCs w:val="32"/>
          <w:lang w:bidi="zh-CN"/>
        </w:rPr>
      </w:pPr>
      <w:r>
        <w:rPr>
          <w:rFonts w:hint="eastAsia" w:ascii="仿宋" w:hAnsi="仿宋" w:eastAsia="仿宋" w:cs="仿宋"/>
          <w:b/>
          <w:bCs/>
          <w:kern w:val="0"/>
          <w:sz w:val="32"/>
          <w:szCs w:val="32"/>
          <w:lang w:bidi="zh-CN"/>
        </w:rPr>
        <w:t>（十）教风、学风建设</w:t>
      </w:r>
    </w:p>
    <w:p>
      <w:pPr>
        <w:numPr>
          <w:ilvl w:val="255"/>
          <w:numId w:val="0"/>
        </w:numPr>
        <w:tabs>
          <w:tab w:val="left" w:pos="0"/>
        </w:tabs>
        <w:spacing w:line="360" w:lineRule="auto"/>
        <w:ind w:firstLine="620" w:firstLineChars="200"/>
        <w:rPr>
          <w:rFonts w:ascii="仿宋" w:hAnsi="仿宋" w:eastAsia="仿宋" w:cs="仿宋"/>
          <w:sz w:val="31"/>
          <w:szCs w:val="31"/>
        </w:rPr>
      </w:pPr>
      <w:r>
        <w:rPr>
          <w:rFonts w:hint="eastAsia" w:ascii="仿宋" w:hAnsi="仿宋" w:eastAsia="仿宋" w:cs="仿宋"/>
          <w:sz w:val="31"/>
          <w:szCs w:val="31"/>
        </w:rPr>
        <w:t>制定《会计学院教学督导工作管理办法》、《辅导员工作管理办法》等，完善教风和学风的制度建设。定期组织学习有关师德师风相关文件精神和典型案例，强化师德师风建设。严格执行学院关于师德师风建设的相关制度和实施办法，实行师德师风在评优评奖、职称评定中的一票否决制度。</w:t>
      </w:r>
    </w:p>
    <w:p>
      <w:pPr>
        <w:numPr>
          <w:ilvl w:val="255"/>
          <w:numId w:val="0"/>
        </w:numPr>
        <w:tabs>
          <w:tab w:val="left" w:pos="0"/>
        </w:tabs>
        <w:spacing w:line="360" w:lineRule="auto"/>
        <w:ind w:firstLine="620" w:firstLineChars="200"/>
        <w:rPr>
          <w:rFonts w:ascii="仿宋" w:hAnsi="仿宋" w:eastAsia="仿宋" w:cs="仿宋"/>
          <w:color w:val="0000FF"/>
          <w:sz w:val="32"/>
          <w:szCs w:val="32"/>
        </w:rPr>
      </w:pPr>
      <w:r>
        <w:rPr>
          <w:rFonts w:hint="eastAsia" w:ascii="仿宋" w:hAnsi="仿宋" w:eastAsia="仿宋" w:cs="仿宋"/>
          <w:sz w:val="31"/>
          <w:szCs w:val="31"/>
        </w:rPr>
        <w:t>全面加强学分建设，积极营造良好考证氛围。会计学院学生初级会计师职称通过率原高于全国平均水平。17级通过率达到70%，其中会计17-4班到达93%的通过率，积极举办CMA考证培训，第一批学生即将参加考试。</w:t>
      </w:r>
      <w:r>
        <w:rPr>
          <w:rFonts w:hint="eastAsia" w:ascii="仿宋" w:hAnsi="仿宋" w:eastAsia="仿宋" w:cs="仿宋"/>
          <w:sz w:val="32"/>
          <w:szCs w:val="32"/>
        </w:rPr>
        <w:t>会计学院2019年度大学英语四级通过人数222人，六级通过人数28人，为后续报考研究生打下坚实基础。学生在全国大学生财会职业技能大赛、科云杯会计专业大赛中多次获一、二等奖。</w:t>
      </w:r>
    </w:p>
    <w:p>
      <w:pPr>
        <w:numPr>
          <w:ilvl w:val="255"/>
          <w:numId w:val="0"/>
        </w:numPr>
        <w:tabs>
          <w:tab w:val="left" w:pos="0"/>
        </w:tabs>
        <w:spacing w:line="360" w:lineRule="auto"/>
        <w:ind w:firstLine="643" w:firstLineChars="200"/>
        <w:rPr>
          <w:rFonts w:ascii="仿宋" w:hAnsi="仿宋" w:eastAsia="仿宋" w:cs="仿宋"/>
          <w:b/>
          <w:bCs/>
          <w:kern w:val="0"/>
          <w:sz w:val="32"/>
          <w:szCs w:val="32"/>
          <w:lang w:bidi="zh-CN"/>
        </w:rPr>
      </w:pPr>
      <w:r>
        <w:rPr>
          <w:rFonts w:hint="eastAsia" w:ascii="仿宋" w:hAnsi="仿宋" w:eastAsia="仿宋" w:cs="仿宋"/>
          <w:b/>
          <w:bCs/>
          <w:kern w:val="0"/>
          <w:sz w:val="32"/>
          <w:szCs w:val="32"/>
          <w:lang w:bidi="zh-CN"/>
        </w:rPr>
        <w:t>（十一）教学质量管理与评价</w:t>
      </w:r>
    </w:p>
    <w:p>
      <w:pPr>
        <w:numPr>
          <w:ilvl w:val="255"/>
          <w:numId w:val="0"/>
        </w:numPr>
        <w:tabs>
          <w:tab w:val="left" w:pos="0"/>
        </w:tabs>
        <w:spacing w:line="360" w:lineRule="auto"/>
        <w:ind w:firstLine="640" w:firstLineChars="200"/>
        <w:rPr>
          <w:rFonts w:ascii="仿宋" w:hAnsi="仿宋" w:eastAsia="仿宋" w:cs="仿宋"/>
          <w:kern w:val="0"/>
          <w:sz w:val="32"/>
          <w:szCs w:val="32"/>
          <w:lang w:bidi="zh-CN"/>
        </w:rPr>
      </w:pPr>
      <w:r>
        <w:rPr>
          <w:rFonts w:hint="eastAsia" w:ascii="仿宋" w:hAnsi="仿宋" w:eastAsia="仿宋" w:cs="仿宋"/>
          <w:kern w:val="0"/>
          <w:sz w:val="32"/>
          <w:szCs w:val="32"/>
          <w:lang w:bidi="zh-CN"/>
        </w:rPr>
        <w:t>制定《会计学院教学督导工作管理办法》，对会计学院教师的课堂教学、实验教学等进行监督、检查、评价、指导。会计学院二级教学督导每月听课时间不少于2学时，听课后需与被听课教师交流意见，并认真撰写教学评价表；听课的重点对象是本年度新取得主讲教师资格的教师。教学督导应参与教学过程的常规检查，了解分院教学安排情况，重点检查教学大纲、授课进度计划、教案、课堂教学、授课质量、学生实践教学情况。</w:t>
      </w:r>
      <w:r>
        <w:rPr>
          <w:rFonts w:hint="eastAsia" w:ascii="仿宋" w:hAnsi="仿宋" w:eastAsia="仿宋" w:cs="仿宋"/>
          <w:kern w:val="0"/>
          <w:sz w:val="32"/>
          <w:szCs w:val="32"/>
        </w:rPr>
        <w:t>严格按照各类实习实验教学大纲、授课进度计划和课表组织管理学生的实习实验活动，学院二级督学和教研室主任定期巡查听课，及时反馈和交流实习情况，解决学生在实习过程的具体问题。已经形成会计学院教育质量年度报告撰写机制。</w:t>
      </w:r>
      <w:r>
        <w:rPr>
          <w:rFonts w:hint="eastAsia" w:ascii="仿宋" w:hAnsi="仿宋" w:eastAsia="仿宋" w:cs="仿宋"/>
          <w:sz w:val="32"/>
          <w:szCs w:val="32"/>
        </w:rPr>
        <w:t>认真完成2018、2019年度各专业均完成教育质量年度报告的撰写，全面分析各专业建设的成绩及存存的问题， 2020年度将继续开展这项工作。在评估中心组织的学生评教中，会计学院排名均一直处在中上水平。</w:t>
      </w:r>
    </w:p>
    <w:bookmarkEnd w:id="0"/>
    <w:p>
      <w:pPr>
        <w:numPr>
          <w:ilvl w:val="255"/>
          <w:numId w:val="0"/>
        </w:numPr>
        <w:tabs>
          <w:tab w:val="left" w:pos="0"/>
        </w:tabs>
        <w:spacing w:line="360" w:lineRule="auto"/>
        <w:ind w:firstLine="640" w:firstLineChars="200"/>
        <w:rPr>
          <w:rFonts w:ascii="仿宋" w:hAnsi="仿宋" w:eastAsia="黑体" w:cs="仿宋"/>
          <w:sz w:val="32"/>
          <w:szCs w:val="32"/>
        </w:rPr>
      </w:pPr>
      <w:r>
        <w:rPr>
          <w:rFonts w:hint="eastAsia" w:ascii="黑体" w:hAnsi="黑体" w:eastAsia="黑体" w:cs="黑体"/>
          <w:sz w:val="32"/>
          <w:szCs w:val="32"/>
        </w:rPr>
        <w:t>四、问题与整改</w:t>
      </w:r>
    </w:p>
    <w:p>
      <w:pPr>
        <w:pStyle w:val="8"/>
        <w:numPr>
          <w:ilvl w:val="0"/>
          <w:numId w:val="1"/>
        </w:numPr>
        <w:spacing w:line="360" w:lineRule="auto"/>
        <w:ind w:firstLineChars="0"/>
        <w:rPr>
          <w:rFonts w:ascii="仿宋" w:hAnsi="仿宋" w:eastAsia="仿宋" w:cs="仿宋"/>
          <w:b/>
          <w:bCs/>
          <w:sz w:val="32"/>
          <w:szCs w:val="32"/>
        </w:rPr>
      </w:pPr>
      <w:r>
        <w:rPr>
          <w:rFonts w:hint="eastAsia" w:ascii="仿宋" w:hAnsi="仿宋" w:eastAsia="仿宋" w:cs="仿宋"/>
          <w:b/>
          <w:bCs/>
          <w:sz w:val="32"/>
          <w:szCs w:val="32"/>
        </w:rPr>
        <w:t>存在问题</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目前会计学院实践教学体系基本形成，但实践教学团队的整体教学能力还有待提高，尤其是新开设的实践课程的师资力量和教学水平相对滞后，各专业的实践教学专职管理员仓促上任，其管理水平和工作效率有待提高。</w:t>
      </w:r>
    </w:p>
    <w:p>
      <w:pPr>
        <w:spacing w:line="360" w:lineRule="auto"/>
        <w:ind w:firstLine="648"/>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教师整体的教科研水平有待进一步提高，教研项目申报和结题工作需进一步跟进。</w:t>
      </w:r>
    </w:p>
    <w:p>
      <w:pPr>
        <w:spacing w:line="360" w:lineRule="auto"/>
        <w:ind w:firstLine="648"/>
        <w:rPr>
          <w:rFonts w:ascii="仿宋" w:hAnsi="仿宋" w:eastAsia="仿宋" w:cs="仿宋"/>
          <w:sz w:val="32"/>
          <w:szCs w:val="32"/>
        </w:rPr>
      </w:pPr>
      <w:r>
        <w:rPr>
          <w:rFonts w:hint="eastAsia" w:ascii="仿宋" w:hAnsi="仿宋" w:eastAsia="仿宋" w:cs="仿宋"/>
          <w:sz w:val="32"/>
          <w:szCs w:val="32"/>
        </w:rPr>
        <w:t>3.期末出卷工作中，存在返还整改试卷比例较高，试卷评阅仍有不规范现象，考试管理规范仍需进一步强化。</w:t>
      </w:r>
    </w:p>
    <w:p>
      <w:pPr>
        <w:spacing w:line="360" w:lineRule="auto"/>
        <w:ind w:firstLine="648"/>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专任教师参与指导学生创新创业和学科竞赛比例不高，教学中也缺乏与创新创业、学科竞赛项目的结合和学生能力的培养。</w:t>
      </w:r>
    </w:p>
    <w:p>
      <w:pPr>
        <w:spacing w:line="360" w:lineRule="auto"/>
        <w:ind w:firstLine="648"/>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在教学质量管理中，课堂教学（含实验教学）主要教学环节质量标准中，还不能杜绝因责任心所导致的差错问题。</w:t>
      </w:r>
    </w:p>
    <w:p>
      <w:pPr>
        <w:spacing w:line="360" w:lineRule="auto"/>
        <w:ind w:firstLine="648"/>
        <w:rPr>
          <w:rFonts w:ascii="仿宋" w:hAnsi="仿宋" w:eastAsia="仿宋" w:cs="仿宋"/>
          <w:sz w:val="32"/>
          <w:szCs w:val="32"/>
        </w:rPr>
      </w:pPr>
      <w:r>
        <w:rPr>
          <w:rFonts w:hint="eastAsia" w:ascii="仿宋" w:hAnsi="仿宋" w:eastAsia="仿宋" w:cs="仿宋"/>
          <w:sz w:val="32"/>
          <w:szCs w:val="32"/>
        </w:rPr>
        <w:t>6.在毕业论文专项工作中，还未按学院要求在毕业论文系统中完成过程控制，至今校外指导教师仍未进入系统，一定程度影响开题指导。</w:t>
      </w:r>
    </w:p>
    <w:p>
      <w:pPr>
        <w:spacing w:line="360" w:lineRule="auto"/>
        <w:ind w:firstLine="648"/>
        <w:rPr>
          <w:rFonts w:ascii="仿宋" w:hAnsi="仿宋" w:eastAsia="仿宋" w:cs="仿宋"/>
          <w:sz w:val="32"/>
          <w:szCs w:val="32"/>
        </w:rPr>
      </w:pPr>
      <w:r>
        <w:rPr>
          <w:rFonts w:hint="eastAsia" w:ascii="仿宋" w:hAnsi="仿宋" w:eastAsia="仿宋" w:cs="仿宋"/>
          <w:sz w:val="32"/>
          <w:szCs w:val="32"/>
        </w:rPr>
        <w:t>7、目前会计学院生师比较高，在校校生人数1996人，如果按照66名教师（校内专任44名，外聘45命，折算22名）计算，生师比高达30：1；与学校确立的合格评估目标19：1及以下，差距不小。</w:t>
      </w:r>
    </w:p>
    <w:p>
      <w:pPr>
        <w:spacing w:line="360" w:lineRule="auto"/>
        <w:ind w:firstLine="643" w:firstLineChars="200"/>
        <w:rPr>
          <w:rFonts w:ascii="仿宋" w:hAnsi="仿宋" w:eastAsia="仿宋" w:cs="仿宋"/>
          <w:b/>
          <w:bCs/>
          <w:sz w:val="32"/>
          <w:szCs w:val="32"/>
        </w:rPr>
      </w:pPr>
      <w:r>
        <w:rPr>
          <w:rFonts w:hint="eastAsia" w:ascii="Times New Roman" w:hAnsi="Times New Roman" w:eastAsia="仿宋" w:cs="Times New Roman"/>
          <w:b/>
          <w:bCs/>
          <w:sz w:val="32"/>
          <w:szCs w:val="32"/>
        </w:rPr>
        <w:t>（二）</w:t>
      </w:r>
      <w:r>
        <w:rPr>
          <w:rFonts w:hint="eastAsia" w:ascii="仿宋" w:hAnsi="仿宋" w:eastAsia="仿宋" w:cs="仿宋"/>
          <w:b/>
          <w:bCs/>
          <w:sz w:val="32"/>
          <w:szCs w:val="32"/>
        </w:rPr>
        <w:t>改进措施</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以实验室建设为契机，加紧推进实践教学团队建设，通过线上线下培训提升实践课程师资团队整体教学能力水平。对实践教学兼职管理员，组织专项学习和指导，提升工作管理水平和效率。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2.通过定期举办学术沙龙、专题讲座、老带新等多种形式提升教师教科研水平，严格按照教师每年度应完成教科研工作量进行考核，压实担子。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3.将指导学生参加创新创业项目申报和学科竞赛作为专任教师考核内容，制定指导教师的相关绩效考核制度，进一步推进专业课程与创新创业、学科竞赛有效结合。</w:t>
      </w:r>
    </w:p>
    <w:p>
      <w:pPr>
        <w:spacing w:line="360" w:lineRule="auto"/>
        <w:ind w:firstLine="648"/>
        <w:rPr>
          <w:rFonts w:ascii="仿宋" w:hAnsi="仿宋" w:eastAsia="仿宋" w:cs="仿宋"/>
          <w:sz w:val="32"/>
          <w:szCs w:val="32"/>
        </w:rPr>
      </w:pPr>
      <w:r>
        <w:rPr>
          <w:rFonts w:hint="eastAsia" w:ascii="仿宋" w:hAnsi="仿宋" w:eastAsia="仿宋" w:cs="仿宋"/>
          <w:sz w:val="32"/>
          <w:szCs w:val="32"/>
        </w:rPr>
        <w:t>4.剖析本次毕业论文专项工作中出现的校外指导教师至今不能在线进行开题指导的原因，源于对毕业论文工作的重视程度不够，对各专业毕业论文工作未提前谋划导致。接下来一方面抓紧外聘教师各项手续的办理工作；另一方面保证线下的论文指导工作有序进行，按时间进度完成对应工作，待外聘教师手续完成后，立即在系统中补充完成教师和学生的匹配、任务书的上传和相应过程的指导。</w:t>
      </w:r>
    </w:p>
    <w:p>
      <w:pPr>
        <w:spacing w:line="360" w:lineRule="auto"/>
        <w:ind w:firstLine="648"/>
        <w:rPr>
          <w:rFonts w:ascii="仿宋" w:hAnsi="仿宋" w:eastAsia="仿宋" w:cs="仿宋"/>
          <w:sz w:val="32"/>
          <w:szCs w:val="32"/>
        </w:rPr>
      </w:pPr>
      <w:r>
        <w:rPr>
          <w:rFonts w:hint="eastAsia" w:ascii="仿宋" w:hAnsi="仿宋" w:eastAsia="仿宋" w:cs="仿宋"/>
          <w:sz w:val="32"/>
          <w:szCs w:val="32"/>
        </w:rPr>
        <w:t>5.进一步发挥好二级督导和教研室主任的规范化建设把关作用。对教师提交教学资料的完整性、规范性进行控制，同时对多次出现差错的教师予以批评教育，并扣发一定年终绩效。</w:t>
      </w:r>
    </w:p>
    <w:p>
      <w:pPr>
        <w:spacing w:line="360" w:lineRule="auto"/>
        <w:ind w:firstLine="648"/>
        <w:rPr>
          <w:rFonts w:ascii="仿宋" w:hAnsi="仿宋" w:eastAsia="仿宋" w:cs="仿宋"/>
          <w:sz w:val="32"/>
          <w:szCs w:val="32"/>
        </w:rPr>
      </w:pPr>
      <w:r>
        <w:rPr>
          <w:rFonts w:hint="eastAsia" w:ascii="仿宋" w:hAnsi="仿宋" w:eastAsia="仿宋" w:cs="仿宋"/>
          <w:sz w:val="32"/>
          <w:szCs w:val="32"/>
        </w:rPr>
        <w:t>6、通过上报学校建议将明年会计学院招生计划控制在200人（4个班），积极引进2-3名博士。进一步缩小生师比。</w:t>
      </w:r>
    </w:p>
    <w:p>
      <w:pPr>
        <w:pStyle w:val="2"/>
        <w:spacing w:before="140" w:line="321" w:lineRule="auto"/>
        <w:ind w:left="106" w:right="211" w:firstLine="640"/>
      </w:pPr>
      <w:r>
        <w:rPr>
          <w:rFonts w:hint="eastAsia"/>
        </w:rPr>
        <w:t>一年来，通过</w:t>
      </w:r>
      <w:bookmarkStart w:id="3" w:name="_GoBack"/>
      <w:bookmarkEnd w:id="3"/>
      <w:r>
        <w:rPr>
          <w:rFonts w:hint="eastAsia"/>
        </w:rPr>
        <w:t>开展本科教学规范建设活动，增强了全院师生教学规范建设的紧迫感和责任感，在全院师生中制度化、规范化的工作学习习惯基本养成，将持续保证学院教学活动有序开展，不断提高教学工作水平和人才培养质量，确保牢固树立本科教学在人才培养中的核心地位，形成教学管理规范、教学运行有序、教学质量监控有效的教学工作新格局，为 2021年顺利通过本科教学工作合格评估铺平道路。</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948286"/>
    </w:sdtPr>
    <w:sdtContent>
      <w:p>
        <w:pPr>
          <w:pStyle w:val="4"/>
          <w:jc w:val="center"/>
        </w:pPr>
        <w:r>
          <w:fldChar w:fldCharType="begin"/>
        </w:r>
        <w:r>
          <w:instrText xml:space="preserve"> PAGE   \* MERGEFORMAT </w:instrText>
        </w:r>
        <w:r>
          <w:fldChar w:fldCharType="separate"/>
        </w:r>
        <w:r>
          <w:rPr>
            <w:lang w:val="zh-CN"/>
          </w:rPr>
          <w:t>17</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102EF"/>
    <w:multiLevelType w:val="multilevel"/>
    <w:tmpl w:val="213102EF"/>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04C42"/>
    <w:rsid w:val="00012E7B"/>
    <w:rsid w:val="000133F2"/>
    <w:rsid w:val="00034599"/>
    <w:rsid w:val="000D6B50"/>
    <w:rsid w:val="001830A4"/>
    <w:rsid w:val="00193D16"/>
    <w:rsid w:val="00215A38"/>
    <w:rsid w:val="00240CFE"/>
    <w:rsid w:val="002A6036"/>
    <w:rsid w:val="002D33D2"/>
    <w:rsid w:val="003610BD"/>
    <w:rsid w:val="00371D04"/>
    <w:rsid w:val="00391A0C"/>
    <w:rsid w:val="003B5EAF"/>
    <w:rsid w:val="003F61AB"/>
    <w:rsid w:val="004327F9"/>
    <w:rsid w:val="00432ABA"/>
    <w:rsid w:val="00490D64"/>
    <w:rsid w:val="004C2A41"/>
    <w:rsid w:val="00507572"/>
    <w:rsid w:val="005230E0"/>
    <w:rsid w:val="005235BA"/>
    <w:rsid w:val="00526594"/>
    <w:rsid w:val="00555DE6"/>
    <w:rsid w:val="005A0C00"/>
    <w:rsid w:val="00603821"/>
    <w:rsid w:val="00627708"/>
    <w:rsid w:val="00644030"/>
    <w:rsid w:val="00652085"/>
    <w:rsid w:val="00681370"/>
    <w:rsid w:val="006E373E"/>
    <w:rsid w:val="006E4737"/>
    <w:rsid w:val="006F5527"/>
    <w:rsid w:val="00741753"/>
    <w:rsid w:val="00771C72"/>
    <w:rsid w:val="00795875"/>
    <w:rsid w:val="008128AC"/>
    <w:rsid w:val="00817863"/>
    <w:rsid w:val="00831FBA"/>
    <w:rsid w:val="009627F2"/>
    <w:rsid w:val="0098541E"/>
    <w:rsid w:val="009D7748"/>
    <w:rsid w:val="009D7CB6"/>
    <w:rsid w:val="00A80F3F"/>
    <w:rsid w:val="00AD613E"/>
    <w:rsid w:val="00AE160A"/>
    <w:rsid w:val="00B93911"/>
    <w:rsid w:val="00C425A2"/>
    <w:rsid w:val="00CB20A2"/>
    <w:rsid w:val="00CF3BCD"/>
    <w:rsid w:val="00CF549E"/>
    <w:rsid w:val="00D0473A"/>
    <w:rsid w:val="00D51DDE"/>
    <w:rsid w:val="00DC504F"/>
    <w:rsid w:val="00E05584"/>
    <w:rsid w:val="00F120F0"/>
    <w:rsid w:val="00F8447F"/>
    <w:rsid w:val="00FF5014"/>
    <w:rsid w:val="08F976C1"/>
    <w:rsid w:val="0C192577"/>
    <w:rsid w:val="155E16ED"/>
    <w:rsid w:val="1D191844"/>
    <w:rsid w:val="21C5050B"/>
    <w:rsid w:val="36DD6CB4"/>
    <w:rsid w:val="3CAB4EFB"/>
    <w:rsid w:val="3EB46D34"/>
    <w:rsid w:val="412F0EDB"/>
    <w:rsid w:val="47AD7A6D"/>
    <w:rsid w:val="48024E4A"/>
    <w:rsid w:val="4D68332D"/>
    <w:rsid w:val="4DB73A72"/>
    <w:rsid w:val="4DCC3F2A"/>
    <w:rsid w:val="4FC94376"/>
    <w:rsid w:val="4FF03416"/>
    <w:rsid w:val="51004C42"/>
    <w:rsid w:val="522A22E9"/>
    <w:rsid w:val="5A8D3049"/>
    <w:rsid w:val="5EF84E0D"/>
    <w:rsid w:val="63E46AB0"/>
    <w:rsid w:val="6726207E"/>
    <w:rsid w:val="682C667C"/>
    <w:rsid w:val="688B4740"/>
    <w:rsid w:val="68B26FEA"/>
    <w:rsid w:val="6A044E6C"/>
    <w:rsid w:val="6E402F7E"/>
    <w:rsid w:val="709A5A3B"/>
    <w:rsid w:val="7B7B0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rPr>
  </w:style>
  <w:style w:type="paragraph" w:styleId="3">
    <w:name w:val="Balloon Text"/>
    <w:basedOn w:val="1"/>
    <w:link w:val="10"/>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unhideWhenUsed/>
    <w:qFormat/>
    <w:uiPriority w:val="99"/>
    <w:pPr>
      <w:ind w:firstLine="420" w:firstLineChars="200"/>
    </w:pPr>
  </w:style>
  <w:style w:type="character" w:customStyle="1" w:styleId="9">
    <w:name w:val="页眉 Char"/>
    <w:basedOn w:val="7"/>
    <w:link w:val="5"/>
    <w:qFormat/>
    <w:uiPriority w:val="0"/>
    <w:rPr>
      <w:kern w:val="2"/>
      <w:sz w:val="18"/>
      <w:szCs w:val="18"/>
    </w:rPr>
  </w:style>
  <w:style w:type="character" w:customStyle="1" w:styleId="10">
    <w:name w:val="批注框文本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DFD672-32BE-4806-BADE-C9F5F9FF494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1246</Words>
  <Characters>7106</Characters>
  <Lines>59</Lines>
  <Paragraphs>16</Paragraphs>
  <TotalTime>79</TotalTime>
  <ScaleCrop>false</ScaleCrop>
  <LinksUpToDate>false</LinksUpToDate>
  <CharactersWithSpaces>8336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2020-12-01T04:33:00Z</dcterms:created>
  <dc:creator>玲西</dc:creator>
  <cp:lastModifiedBy>玲西</cp:lastModifiedBy>
  <cp:lastPrinted>2020-12-02T01:06:09Z</cp:lastPrinted>
  <dcterms:modified xsi:type="dcterms:W3CDTF">2020-12-02T01:08:29Z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