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A9A5B">
      <w:pPr>
        <w:spacing w:line="54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“第</w:t>
      </w:r>
      <w:r>
        <w:rPr>
          <w:rFonts w:hint="eastAsia" w:ascii="方正小标宋_GBK" w:hAnsi="方正小标宋_GBK" w:eastAsia="方正小标宋_GBK" w:cs="方正小标宋_GBK"/>
          <w:b/>
          <w:sz w:val="44"/>
          <w:szCs w:val="44"/>
          <w:lang w:val="en-US" w:eastAsia="zh-CN"/>
        </w:rPr>
        <w:t>十一</w:t>
      </w:r>
      <w:r>
        <w:rPr>
          <w:rFonts w:hint="eastAsia" w:ascii="方正小标宋_GBK" w:hAnsi="方正小标宋_GBK" w:eastAsia="方正小标宋_GBK" w:cs="方正小标宋_GBK"/>
          <w:b/>
          <w:sz w:val="44"/>
          <w:szCs w:val="44"/>
        </w:rPr>
        <w:t>届贵州高校统计信息可视化大赛”</w:t>
      </w:r>
      <w:r>
        <w:rPr>
          <w:rFonts w:hint="eastAsia" w:ascii="方正小标宋_GBK" w:hAnsi="方正小标宋_GBK" w:eastAsia="方正小标宋_GBK" w:cs="方正小标宋_GBK"/>
          <w:b/>
          <w:sz w:val="44"/>
          <w:szCs w:val="44"/>
          <w:lang w:val="en-US" w:eastAsia="zh-CN"/>
        </w:rPr>
        <w:t>贵州商学院校赛</w:t>
      </w:r>
      <w:r>
        <w:rPr>
          <w:rFonts w:hint="eastAsia" w:ascii="方正小标宋_GBK" w:hAnsi="方正小标宋_GBK" w:eastAsia="方正小标宋_GBK" w:cs="方正小标宋_GBK"/>
          <w:b/>
          <w:sz w:val="44"/>
          <w:szCs w:val="44"/>
        </w:rPr>
        <w:t>的工作方案</w:t>
      </w:r>
    </w:p>
    <w:p w14:paraId="70829302">
      <w:pPr>
        <w:spacing w:line="540" w:lineRule="exact"/>
        <w:rPr>
          <w:rFonts w:ascii="仿宋_GB2312" w:hAnsi="仿宋_GB2312" w:eastAsia="仿宋_GB2312" w:cs="仿宋_GB2312"/>
          <w:sz w:val="32"/>
          <w:szCs w:val="32"/>
        </w:rPr>
      </w:pPr>
    </w:p>
    <w:p w14:paraId="6367AE0E">
      <w:pPr>
        <w:spacing w:line="540" w:lineRule="exact"/>
        <w:rPr>
          <w:rFonts w:hint="eastAsia" w:ascii="仿宋_GB2312" w:hAnsi="Arial" w:eastAsia="仿宋_GB2312" w:cs="Arial"/>
          <w:color w:val="000000"/>
          <w:kern w:val="2"/>
          <w:sz w:val="32"/>
          <w:szCs w:val="32"/>
        </w:rPr>
      </w:pPr>
      <w:r>
        <w:rPr>
          <w:rFonts w:hint="eastAsia" w:ascii="仿宋_GB2312" w:hAnsi="仿宋_GB2312" w:eastAsia="仿宋_GB2312" w:cs="仿宋_GB2312"/>
          <w:sz w:val="32"/>
          <w:szCs w:val="32"/>
          <w:lang w:val="en-US" w:eastAsia="zh-CN"/>
        </w:rPr>
        <w:t>各二级学院</w:t>
      </w:r>
      <w:r>
        <w:rPr>
          <w:rFonts w:hint="eastAsia" w:ascii="仿宋_GB2312" w:hAnsi="仿宋_GB2312" w:eastAsia="仿宋_GB2312" w:cs="仿宋_GB2312"/>
          <w:sz w:val="32"/>
          <w:szCs w:val="32"/>
        </w:rPr>
        <w:t>：</w:t>
      </w:r>
    </w:p>
    <w:p w14:paraId="277E0E8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640"/>
        <w:rPr>
          <w:rFonts w:hint="eastAsia" w:ascii="仿宋_GB2312" w:hAnsi="Arial" w:eastAsia="仿宋_GB2312" w:cs="Arial"/>
          <w:color w:val="000000"/>
          <w:kern w:val="2"/>
          <w:sz w:val="32"/>
          <w:szCs w:val="32"/>
        </w:rPr>
      </w:pPr>
      <w:r>
        <w:rPr>
          <w:rFonts w:hint="eastAsia" w:ascii="仿宋_GB2312" w:hAnsi="Arial" w:eastAsia="仿宋_GB2312" w:cs="Arial"/>
          <w:color w:val="000000"/>
          <w:kern w:val="2"/>
          <w:sz w:val="32"/>
          <w:szCs w:val="32"/>
        </w:rPr>
        <w:t>为深入实施“人工智能+”行动，推动人工智能与经济社会各行业各领域广</w:t>
      </w:r>
      <w:bookmarkStart w:id="1" w:name="_GoBack"/>
      <w:bookmarkEnd w:id="1"/>
      <w:r>
        <w:rPr>
          <w:rFonts w:hint="eastAsia" w:ascii="仿宋_GB2312" w:hAnsi="Arial" w:eastAsia="仿宋_GB2312" w:cs="Arial"/>
          <w:color w:val="000000"/>
          <w:kern w:val="2"/>
          <w:sz w:val="32"/>
          <w:szCs w:val="32"/>
        </w:rPr>
        <w:t>泛深度融合，提升全省高校学生的统计信息可视化应用能力，深化对统计数据获取、分析与应用的现代统计技术研究，贵州高校统计信息可视化大赛组委会将举办第十一届贵州高校统计信息可视化大赛。</w:t>
      </w:r>
    </w:p>
    <w:p w14:paraId="54C0179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640"/>
        <w:rPr>
          <w:rFonts w:hint="eastAsia" w:ascii="仿宋_GB2312" w:eastAsia="仿宋_GB2312"/>
          <w:sz w:val="32"/>
          <w:szCs w:val="32"/>
          <w:lang w:eastAsia="zh-CN"/>
        </w:rPr>
      </w:pPr>
      <w:r>
        <w:rPr>
          <w:rFonts w:hint="eastAsia" w:ascii="仿宋_GB2312" w:hAnsi="Arial" w:eastAsia="仿宋_GB2312" w:cs="Arial"/>
          <w:color w:val="000000"/>
          <w:kern w:val="2"/>
          <w:sz w:val="32"/>
          <w:szCs w:val="32"/>
        </w:rPr>
        <w:t>本次大赛旨在通过比赛激发学生社会实践热情，促进统计学知识与可视化技术的深入结合，挖掘并培养可视化人才。在总结历届成功经验的基础上，第十一届大赛将进一步强化“以赛促学、以赛促教、以赛促宣”的目标导向。参赛作品要求以数据可视化的方式呈现贵州在新时代背景下践行国家战略的责任担当，充分展现“人工智能+”赋能贵州千行百业的生动图景，通过数据语言和视觉化表达，希望引导青年群体关注并思考贵州的高质量发展进程。现将有关事项通知如下：</w:t>
      </w:r>
    </w:p>
    <w:p w14:paraId="084F05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720"/>
        <w:jc w:val="left"/>
        <w:rPr>
          <w:rFonts w:ascii="黑体" w:hAnsi="黑体" w:eastAsia="黑体" w:cs="黑体"/>
          <w:color w:val="000000"/>
          <w:sz w:val="32"/>
          <w:szCs w:val="32"/>
        </w:rPr>
      </w:pPr>
      <w:r>
        <w:rPr>
          <w:rFonts w:hint="eastAsia" w:ascii="黑体" w:hAnsi="黑体" w:eastAsia="黑体" w:cs="黑体"/>
          <w:color w:val="000000"/>
          <w:sz w:val="32"/>
          <w:szCs w:val="32"/>
        </w:rPr>
        <w:t>一、大赛主题</w:t>
      </w:r>
    </w:p>
    <w:p w14:paraId="722DF87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72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深入实施“人工智能+”行动，推动贵州高质量发展</w:t>
      </w:r>
    </w:p>
    <w:p w14:paraId="003F739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720"/>
        <w:jc w:val="left"/>
        <w:rPr>
          <w:rFonts w:ascii="仿宋_GB2312" w:hAnsi="仿宋_GB2312" w:eastAsia="仿宋_GB2312" w:cs="仿宋_GB2312"/>
          <w:color w:val="000000"/>
          <w:sz w:val="32"/>
          <w:szCs w:val="32"/>
        </w:rPr>
      </w:pPr>
      <w:r>
        <w:rPr>
          <w:rFonts w:hint="eastAsia" w:ascii="黑体" w:hAnsi="黑体" w:eastAsia="黑体" w:cs="黑体"/>
          <w:color w:val="000000"/>
          <w:sz w:val="32"/>
          <w:szCs w:val="32"/>
        </w:rPr>
        <w:t>二、组织机构</w:t>
      </w:r>
    </w:p>
    <w:p w14:paraId="7C8BC861">
      <w:pPr>
        <w:pStyle w:val="10"/>
        <w:spacing w:before="156" w:beforeLines="50" w:after="156" w:after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指导单位：贵州省统计学会</w:t>
      </w:r>
    </w:p>
    <w:p w14:paraId="7E9FDA2C">
      <w:pPr>
        <w:pStyle w:val="10"/>
        <w:spacing w:before="156" w:beforeLines="50" w:after="156" w:after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主办单位：贵州高校统计信息可视化大赛组委会</w:t>
      </w:r>
    </w:p>
    <w:p w14:paraId="1E5DADDE">
      <w:pPr>
        <w:pStyle w:val="10"/>
        <w:spacing w:before="156" w:beforeLines="50" w:after="156" w:after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承办单位：贵阳人文科技学院</w:t>
      </w:r>
    </w:p>
    <w:p w14:paraId="068690FE">
      <w:pPr>
        <w:pStyle w:val="10"/>
        <w:spacing w:before="156" w:beforeLines="50" w:after="156" w:after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协办单位：贵阳人文科技学院大数据与信息工程学院</w:t>
      </w:r>
    </w:p>
    <w:p w14:paraId="3051D53E">
      <w:pPr>
        <w:pStyle w:val="10"/>
        <w:spacing w:before="156" w:beforeLines="50" w:after="156" w:afterLines="50" w:line="560" w:lineRule="exact"/>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贵阳人文科技学院教务处</w:t>
      </w:r>
    </w:p>
    <w:p w14:paraId="320892A0">
      <w:pPr>
        <w:pStyle w:val="10"/>
        <w:spacing w:before="156" w:beforeLines="50" w:after="156" w:afterLines="5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校级初赛</w:t>
      </w:r>
      <w:r>
        <w:rPr>
          <w:rFonts w:hint="eastAsia" w:ascii="仿宋_GB2312" w:hAnsi="仿宋_GB2312" w:eastAsia="仿宋_GB2312" w:cs="仿宋_GB2312"/>
          <w:color w:val="000000"/>
          <w:sz w:val="32"/>
          <w:szCs w:val="32"/>
        </w:rPr>
        <w:t>由贵州商学院</w:t>
      </w:r>
      <w:r>
        <w:rPr>
          <w:rFonts w:hint="eastAsia" w:ascii="仿宋_GB2312" w:hAnsi="仿宋_GB2312" w:eastAsia="仿宋_GB2312" w:cs="仿宋_GB2312"/>
          <w:color w:val="000000"/>
          <w:sz w:val="32"/>
          <w:szCs w:val="32"/>
          <w:lang w:val="en-US" w:eastAsia="zh-CN"/>
        </w:rPr>
        <w:t>工商</w:t>
      </w:r>
      <w:r>
        <w:rPr>
          <w:rFonts w:hint="eastAsia" w:ascii="仿宋_GB2312" w:hAnsi="仿宋_GB2312" w:eastAsia="仿宋_GB2312" w:cs="仿宋_GB2312"/>
          <w:color w:val="000000"/>
          <w:sz w:val="32"/>
          <w:szCs w:val="32"/>
        </w:rPr>
        <w:t>管理学院组织。</w:t>
      </w:r>
    </w:p>
    <w:p w14:paraId="0D58054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720"/>
        <w:jc w:val="left"/>
        <w:rPr>
          <w:rFonts w:ascii="黑体" w:hAnsi="黑体" w:eastAsia="黑体" w:cs="黑体"/>
          <w:color w:val="000000"/>
          <w:sz w:val="32"/>
          <w:szCs w:val="32"/>
        </w:rPr>
      </w:pPr>
      <w:r>
        <w:rPr>
          <w:rFonts w:hint="eastAsia" w:ascii="黑体" w:hAnsi="黑体" w:eastAsia="黑体" w:cs="黑体"/>
          <w:color w:val="000000"/>
          <w:sz w:val="32"/>
          <w:szCs w:val="32"/>
        </w:rPr>
        <w:t>三、参赛对象</w:t>
      </w:r>
    </w:p>
    <w:p w14:paraId="0764F83E">
      <w:pPr>
        <w:tabs>
          <w:tab w:val="left" w:pos="3135"/>
        </w:tabs>
        <w:spacing w:line="54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贵州商学院全日制在校学生。</w:t>
      </w:r>
    </w:p>
    <w:p w14:paraId="0C23D88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720"/>
        <w:jc w:val="left"/>
        <w:rPr>
          <w:rFonts w:ascii="黑体" w:hAnsi="黑体" w:eastAsia="黑体" w:cs="黑体"/>
          <w:color w:val="000000"/>
          <w:sz w:val="32"/>
          <w:szCs w:val="32"/>
        </w:rPr>
      </w:pPr>
      <w:r>
        <w:rPr>
          <w:rFonts w:hint="eastAsia" w:ascii="黑体" w:hAnsi="黑体" w:eastAsia="黑体" w:cs="黑体"/>
          <w:color w:val="000000"/>
          <w:sz w:val="32"/>
          <w:szCs w:val="32"/>
        </w:rPr>
        <w:t>四、参赛内容</w:t>
      </w:r>
    </w:p>
    <w:p w14:paraId="5E0BA4D8">
      <w:pPr>
        <w:spacing w:line="54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(一)作品内容</w:t>
      </w:r>
    </w:p>
    <w:p w14:paraId="68A70C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72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围绕“深入实施‘人工智能+’行动，推动贵州高质量发展”主题，参赛作品应聚焦贵州省在经济、社会、生态等方面的高质量发展需求，结合统计信息与数据可视化手段，展现推动智算能力提升、数据资源建设、行业大模型发展、智能产业培育和数字生态优化等方面的成就和潜力，凸显大数据和人工智能在高质量发展中的价值和应用。</w:t>
      </w:r>
    </w:p>
    <w:p w14:paraId="00DF673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72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作品需着重展示贵州在实施以下五个行动的显著进展。</w:t>
      </w:r>
      <w:r>
        <w:rPr>
          <w:rFonts w:hint="eastAsia" w:ascii="Times New Roman" w:hAnsi="Times New Roman" w:eastAsia="仿宋_GB2312" w:cs="Times New Roman"/>
          <w:b/>
          <w:bCs/>
          <w:sz w:val="32"/>
          <w:szCs w:val="32"/>
        </w:rPr>
        <w:t>实施智算能力提升行动</w:t>
      </w:r>
      <w:r>
        <w:rPr>
          <w:rFonts w:hint="eastAsia" w:ascii="Times New Roman" w:hAnsi="Times New Roman" w:eastAsia="仿宋_GB2312" w:cs="Times New Roman"/>
          <w:sz w:val="32"/>
          <w:szCs w:val="32"/>
        </w:rPr>
        <w:t>：通过数据可视化揭示贵州在深入实施“东数西算”工程，推进算电、算网、区域协同发展的成果展示。</w:t>
      </w:r>
      <w:r>
        <w:rPr>
          <w:rFonts w:hint="eastAsia" w:ascii="Times New Roman" w:hAnsi="Times New Roman" w:eastAsia="仿宋_GB2312" w:cs="Times New Roman"/>
          <w:b/>
          <w:bCs/>
          <w:sz w:val="32"/>
          <w:szCs w:val="32"/>
        </w:rPr>
        <w:t>实施数据资源建设行动</w:t>
      </w:r>
      <w:r>
        <w:rPr>
          <w:rFonts w:hint="eastAsia" w:ascii="Times New Roman" w:hAnsi="Times New Roman" w:eastAsia="仿宋_GB2312" w:cs="Times New Roman"/>
          <w:sz w:val="32"/>
          <w:szCs w:val="32"/>
        </w:rPr>
        <w:t>：通过数据可视化呈现贵州围绕自然资源、交通、民政、住建、人社、医保、市场监管、教育等重点领域，推进公共数据资源建设的统计成果。</w:t>
      </w:r>
      <w:r>
        <w:rPr>
          <w:rFonts w:hint="eastAsia" w:ascii="Times New Roman" w:hAnsi="Times New Roman" w:eastAsia="仿宋_GB2312" w:cs="Times New Roman"/>
          <w:b/>
          <w:bCs/>
          <w:sz w:val="32"/>
          <w:szCs w:val="32"/>
        </w:rPr>
        <w:t>实施行业大模型发展行动：</w:t>
      </w:r>
      <w:r>
        <w:rPr>
          <w:rFonts w:hint="eastAsia" w:ascii="Times New Roman" w:hAnsi="Times New Roman" w:eastAsia="仿宋_GB2312" w:cs="Times New Roman"/>
          <w:sz w:val="32"/>
          <w:szCs w:val="32"/>
        </w:rPr>
        <w:t>通过数据可视化展示贵州在酱酒、化工、煤矿、旅游、医疗、广电等24行业领域开展大模型应用的创新成果。</w:t>
      </w:r>
      <w:r>
        <w:rPr>
          <w:rFonts w:hint="eastAsia" w:ascii="Times New Roman" w:hAnsi="Times New Roman" w:eastAsia="仿宋_GB2312" w:cs="Times New Roman"/>
          <w:b/>
          <w:bCs/>
          <w:sz w:val="32"/>
          <w:szCs w:val="32"/>
        </w:rPr>
        <w:t>实施智能产业培育行动</w:t>
      </w:r>
      <w:r>
        <w:rPr>
          <w:rFonts w:hint="eastAsia" w:ascii="Times New Roman" w:hAnsi="Times New Roman" w:eastAsia="仿宋_GB2312" w:cs="Times New Roman"/>
          <w:sz w:val="32"/>
          <w:szCs w:val="32"/>
        </w:rPr>
        <w:t>：通过数据可视化显现贵州在发展智算服务产业、壮大智能终端产业、提升产业承载能力等方面的领先成就。</w:t>
      </w:r>
      <w:r>
        <w:rPr>
          <w:rFonts w:hint="eastAsia" w:ascii="Times New Roman" w:hAnsi="Times New Roman" w:eastAsia="仿宋_GB2312" w:cs="Times New Roman"/>
          <w:b/>
          <w:bCs/>
          <w:sz w:val="32"/>
          <w:szCs w:val="32"/>
        </w:rPr>
        <w:t>实施数字生态优化行动</w:t>
      </w:r>
      <w:r>
        <w:rPr>
          <w:rFonts w:hint="eastAsia" w:ascii="Times New Roman" w:hAnsi="Times New Roman" w:eastAsia="仿宋_GB2312" w:cs="Times New Roman"/>
          <w:sz w:val="32"/>
          <w:szCs w:val="32"/>
        </w:rPr>
        <w:t>：通过数据可视化展现贵州在数据要素改革、数据基础设施建设以及参与“一带一路”“数字丝绸之路”建设等方面的创新成效。</w:t>
      </w:r>
    </w:p>
    <w:p w14:paraId="5208CCB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40" w:lineRule="exact"/>
        <w:ind w:firstLine="72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统计数据与可视化表现形式。</w:t>
      </w:r>
      <w:r>
        <w:rPr>
          <w:rFonts w:hint="eastAsia" w:ascii="Times New Roman" w:hAnsi="Times New Roman" w:eastAsia="仿宋_GB2312" w:cs="Times New Roman"/>
          <w:b/>
          <w:bCs/>
          <w:sz w:val="32"/>
          <w:szCs w:val="32"/>
        </w:rPr>
        <w:t>数据准确：</w:t>
      </w:r>
      <w:r>
        <w:rPr>
          <w:rFonts w:hint="eastAsia" w:ascii="Times New Roman" w:hAnsi="Times New Roman" w:eastAsia="仿宋_GB2312" w:cs="Times New Roman"/>
          <w:sz w:val="32"/>
          <w:szCs w:val="32"/>
        </w:rPr>
        <w:t>要求作品中使用的统计数据真实、准确，数据来源可靠，可引用省级统计年鉴、各类官方数据报告以及相关行业数据。</w:t>
      </w:r>
      <w:r>
        <w:rPr>
          <w:rFonts w:hint="eastAsia" w:ascii="Times New Roman" w:hAnsi="Times New Roman" w:eastAsia="仿宋_GB2312" w:cs="Times New Roman"/>
          <w:b/>
          <w:bCs/>
          <w:sz w:val="32"/>
          <w:szCs w:val="32"/>
        </w:rPr>
        <w:t>可视化创新</w:t>
      </w:r>
      <w:r>
        <w:rPr>
          <w:rFonts w:hint="eastAsia" w:ascii="Times New Roman" w:hAnsi="Times New Roman" w:eastAsia="仿宋_GB2312" w:cs="Times New Roman"/>
          <w:sz w:val="32"/>
          <w:szCs w:val="32"/>
        </w:rPr>
        <w:t>：鼓励参赛者探索创新的数据表现方式，如地图分析、动态数据展示、时序数据动画等，增强数据的可读性与观赏性。</w:t>
      </w:r>
      <w:r>
        <w:rPr>
          <w:rFonts w:hint="eastAsia" w:ascii="Times New Roman" w:hAnsi="Times New Roman" w:eastAsia="仿宋_GB2312" w:cs="Times New Roman"/>
          <w:b/>
          <w:bCs/>
          <w:sz w:val="32"/>
          <w:szCs w:val="32"/>
        </w:rPr>
        <w:t>多维度展示</w:t>
      </w:r>
      <w:r>
        <w:rPr>
          <w:rFonts w:hint="eastAsia" w:ascii="Times New Roman" w:hAnsi="Times New Roman" w:eastAsia="仿宋_GB2312" w:cs="Times New Roman"/>
          <w:sz w:val="32"/>
          <w:szCs w:val="32"/>
        </w:rPr>
        <w:t>：作品需围绕主题，从多维度进行数据展示，以图表、图解、文字说明相结合的形式，构建一个丰富立体的作品，方便评审及观众从不同角度理解“人工智能+”赋能贵州千行百业的发展成效。</w:t>
      </w:r>
    </w:p>
    <w:p w14:paraId="62DBE2DE">
      <w:pPr>
        <w:spacing w:line="540" w:lineRule="exact"/>
        <w:ind w:firstLine="64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)作品表现形式</w:t>
      </w:r>
    </w:p>
    <w:p w14:paraId="56352425">
      <w:pPr>
        <w:spacing w:line="54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作品以静态图片作品和动态作品的形式呈现，参赛队伍可自行选择某一种形式参赛。具体要求如下：</w:t>
      </w:r>
    </w:p>
    <w:p w14:paraId="54A2D5D4">
      <w:pPr>
        <w:spacing w:line="54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1.静态图片作品：jpg、jpeg、png，即把作品做成一张张体现内容的图片。要求图片大小控制在20M之内，宽度不超过800像素，长度可以自行设置。</w:t>
      </w:r>
    </w:p>
    <w:p w14:paraId="51DDB391">
      <w:pPr>
        <w:spacing w:line="54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动态作品（含动态图片、H5动态网页、数据视频等）：动态图片为gif，要求图片大小控制在30M之内，宽度要求不超过800像素。H5动态网页：作品不能引用第三方网站JS和CSS(可以使用jquery、echarts等第三方组件JS，但是不能远程引用JS、CSS、不能使用有侵权风险的组件和素材)，不能使用第三方网站制作H5页面作品；主页面统一命名为index.html，且index.html文件必须放在根目录下。</w:t>
      </w:r>
      <w:r>
        <w:rPr>
          <w:rFonts w:ascii="仿宋_GB2312" w:hAnsi="仿宋_GB2312" w:eastAsia="仿宋_GB2312" w:cs="仿宋_GB2312"/>
          <w:color w:val="000000"/>
          <w:sz w:val="32"/>
          <w:szCs w:val="32"/>
        </w:rPr>
        <w:t>数据视频：作品时长为30秒—5分钟，分辨率设定为1920x1080，采用MP4格式封装，文件大小不超过100Mb。</w:t>
      </w:r>
    </w:p>
    <w:p w14:paraId="61C1BA68">
      <w:pPr>
        <w:spacing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）作品提交要求</w:t>
      </w:r>
    </w:p>
    <w:p w14:paraId="108BAB3C">
      <w:pPr>
        <w:spacing w:line="540" w:lineRule="exact"/>
        <w:ind w:firstLine="64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提交内容：</w:t>
      </w:r>
      <w:r>
        <w:rPr>
          <w:rFonts w:hint="eastAsia" w:ascii="仿宋_GB2312" w:hAnsi="仿宋_GB2312" w:eastAsia="仿宋_GB2312" w:cs="仿宋_GB2312"/>
          <w:sz w:val="32"/>
          <w:szCs w:val="32"/>
        </w:rPr>
        <w:t>作品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作品说明</w:t>
      </w:r>
      <w:r>
        <w:rPr>
          <w:rFonts w:hint="eastAsia" w:ascii="仿宋_GB2312" w:hAnsi="仿宋_GB2312" w:eastAsia="仿宋_GB2312" w:cs="仿宋_GB2312"/>
          <w:sz w:val="32"/>
          <w:szCs w:val="32"/>
          <w:lang w:val="en-US" w:eastAsia="zh-CN"/>
        </w:rPr>
        <w:t>文档。</w:t>
      </w:r>
    </w:p>
    <w:p w14:paraId="17B05A9D">
      <w:pPr>
        <w:spacing w:line="540" w:lineRule="exact"/>
        <w:ind w:firstLine="640"/>
        <w:jc w:val="lef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作品说明</w:t>
      </w:r>
      <w:r>
        <w:rPr>
          <w:rFonts w:hint="eastAsia" w:ascii="仿宋_GB2312" w:hAnsi="仿宋_GB2312" w:eastAsia="仿宋_GB2312" w:cs="仿宋_GB2312"/>
          <w:sz w:val="32"/>
          <w:szCs w:val="32"/>
          <w:lang w:val="en-US" w:eastAsia="zh-CN"/>
        </w:rPr>
        <w:t>文档为500</w:t>
      </w:r>
      <w:r>
        <w:rPr>
          <w:rFonts w:ascii="仿宋_GB2312" w:hAnsi="仿宋_GB2312" w:eastAsia="仿宋_GB2312" w:cs="仿宋_GB2312"/>
          <w:sz w:val="32"/>
          <w:szCs w:val="32"/>
        </w:rPr>
        <w:t>字</w:t>
      </w:r>
      <w:r>
        <w:rPr>
          <w:rFonts w:hint="eastAsia" w:ascii="仿宋_GB2312" w:hAnsi="仿宋_GB2312" w:eastAsia="仿宋_GB2312" w:cs="仿宋_GB2312"/>
          <w:sz w:val="32"/>
          <w:szCs w:val="32"/>
          <w:lang w:val="en-US" w:eastAsia="zh-CN"/>
        </w:rPr>
        <w:t>以内</w:t>
      </w:r>
      <w:r>
        <w:rPr>
          <w:rFonts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作品简介（</w:t>
      </w:r>
      <w:r>
        <w:rPr>
          <w:rFonts w:hint="eastAsia" w:ascii="仿宋_GB2312" w:hAnsi="仿宋_GB2312" w:eastAsia="仿宋_GB2312" w:cs="仿宋_GB2312"/>
          <w:sz w:val="32"/>
          <w:szCs w:val="32"/>
          <w:lang w:eastAsia="zh-CN"/>
        </w:rPr>
        <w:t>以Word或PDF格式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简介</w:t>
      </w:r>
      <w:r>
        <w:rPr>
          <w:rFonts w:ascii="仿宋_GB2312" w:hAnsi="仿宋_GB2312" w:eastAsia="仿宋_GB2312" w:cs="仿宋_GB2312"/>
          <w:sz w:val="32"/>
          <w:szCs w:val="32"/>
        </w:rPr>
        <w:t>内容包括</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数据来源、数据类型、数据规模、技术路线、创意思路等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图文并茂的方式介绍作品</w:t>
      </w:r>
      <w:r>
        <w:rPr>
          <w:rFonts w:ascii="仿宋_GB2312" w:hAnsi="仿宋_GB2312" w:eastAsia="仿宋_GB2312" w:cs="仿宋_GB2312"/>
          <w:sz w:val="32"/>
          <w:szCs w:val="32"/>
        </w:rPr>
        <w:t>以便评审专家更快捕捉作品亮点</w:t>
      </w:r>
      <w:r>
        <w:rPr>
          <w:rFonts w:hint="eastAsia" w:ascii="仿宋_GB2312" w:hAnsi="仿宋_GB2312" w:eastAsia="仿宋_GB2312" w:cs="仿宋_GB2312"/>
          <w:sz w:val="32"/>
          <w:szCs w:val="32"/>
          <w:lang w:eastAsia="zh-CN"/>
        </w:rPr>
        <w:t>。</w:t>
      </w:r>
    </w:p>
    <w:p w14:paraId="5B6D0240">
      <w:pPr>
        <w:tabs>
          <w:tab w:val="left" w:pos="3135"/>
        </w:tabs>
        <w:spacing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注意事项：每支参赛队伍仅限一个作品进行报名参赛。每队参赛学生成员和指导教师均不超过三人。</w:t>
      </w:r>
    </w:p>
    <w:p w14:paraId="106857BE">
      <w:pPr>
        <w:tabs>
          <w:tab w:val="left" w:pos="3135"/>
        </w:tabs>
        <w:spacing w:line="540" w:lineRule="exact"/>
        <w:ind w:firstLine="640"/>
        <w:jc w:val="left"/>
        <w:rPr>
          <w:rFonts w:ascii="黑体" w:hAnsi="黑体" w:eastAsia="黑体" w:cs="黑体"/>
          <w:color w:val="000000"/>
          <w:sz w:val="32"/>
          <w:szCs w:val="32"/>
        </w:rPr>
      </w:pPr>
      <w:r>
        <w:rPr>
          <w:rFonts w:hint="eastAsia" w:ascii="黑体" w:hAnsi="黑体" w:eastAsia="黑体" w:cs="黑体"/>
          <w:color w:val="000000"/>
          <w:sz w:val="32"/>
          <w:szCs w:val="32"/>
        </w:rPr>
        <w:t>五、赛程安排</w:t>
      </w:r>
      <w:r>
        <w:rPr>
          <w:rFonts w:hint="eastAsia" w:ascii="黑体" w:hAnsi="黑体" w:eastAsia="黑体" w:cs="黑体"/>
          <w:color w:val="000000"/>
          <w:sz w:val="32"/>
          <w:szCs w:val="32"/>
        </w:rPr>
        <w:tab/>
      </w:r>
    </w:p>
    <w:p w14:paraId="0FFC763F">
      <w:pPr>
        <w:tabs>
          <w:tab w:val="left" w:pos="3135"/>
        </w:tabs>
        <w:spacing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（一）校级初赛阶段</w:t>
      </w:r>
      <w:r>
        <w:rPr>
          <w:rFonts w:hint="eastAsia" w:ascii="仿宋_GB2312" w:hAnsi="仿宋_GB2312" w:eastAsia="仿宋_GB2312" w:cs="仿宋_GB2312"/>
          <w:sz w:val="32"/>
          <w:szCs w:val="32"/>
        </w:rPr>
        <w:t>（11月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7B2AF5F1">
      <w:pPr>
        <w:tabs>
          <w:tab w:val="left" w:pos="3135"/>
        </w:tabs>
        <w:spacing w:line="54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工商</w:t>
      </w:r>
      <w:r>
        <w:rPr>
          <w:rFonts w:hint="eastAsia" w:ascii="仿宋_GB2312" w:hAnsi="仿宋_GB2312" w:eastAsia="仿宋_GB2312" w:cs="仿宋_GB2312"/>
          <w:color w:val="000000"/>
          <w:sz w:val="32"/>
          <w:szCs w:val="32"/>
        </w:rPr>
        <w:t>管理学院管理科学学会负责组织本次校级初赛；各学院推荐作品参加校级初赛，校级初赛在1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月2日截至参赛作品收集，</w:t>
      </w:r>
      <w:r>
        <w:rPr>
          <w:rFonts w:hint="eastAsia" w:ascii="仿宋_GB2312" w:hAnsi="仿宋_GB2312" w:eastAsia="仿宋_GB2312" w:cs="仿宋_GB2312"/>
          <w:color w:val="000000"/>
          <w:sz w:val="32"/>
          <w:szCs w:val="32"/>
          <w:lang w:val="en-US" w:eastAsia="zh-CN"/>
        </w:rPr>
        <w:t>12月5</w:t>
      </w:r>
      <w:r>
        <w:rPr>
          <w:rFonts w:hint="eastAsia" w:ascii="仿宋_GB2312" w:hAnsi="仿宋_GB2312" w:eastAsia="仿宋_GB2312" w:cs="仿宋_GB2312"/>
          <w:color w:val="000000"/>
          <w:sz w:val="32"/>
          <w:szCs w:val="32"/>
        </w:rPr>
        <w:t>日前完成参赛作品评审。</w:t>
      </w:r>
    </w:p>
    <w:p w14:paraId="5B6FF94B">
      <w:pPr>
        <w:tabs>
          <w:tab w:val="left" w:pos="3135"/>
        </w:tabs>
        <w:spacing w:line="540" w:lineRule="exact"/>
        <w:ind w:firstLine="640"/>
        <w:jc w:val="left"/>
        <w:rPr>
          <w:rFonts w:ascii="仿宋_GB2312" w:hAnsi="仿宋_GB2312" w:eastAsia="仿宋_GB2312" w:cs="仿宋_GB2312"/>
          <w:color w:val="000000"/>
          <w:sz w:val="32"/>
          <w:szCs w:val="32"/>
        </w:rPr>
      </w:pPr>
      <w:bookmarkStart w:id="0" w:name="_Hlk48082807"/>
      <w:r>
        <w:rPr>
          <w:rFonts w:hint="eastAsia" w:ascii="仿宋_GB2312" w:hAnsi="仿宋_GB2312" w:eastAsia="仿宋_GB2312" w:cs="仿宋_GB2312"/>
          <w:color w:val="000000"/>
          <w:sz w:val="32"/>
          <w:szCs w:val="32"/>
        </w:rPr>
        <w:t>评审</w:t>
      </w:r>
      <w:bookmarkEnd w:id="0"/>
      <w:r>
        <w:rPr>
          <w:rFonts w:hint="eastAsia" w:ascii="仿宋_GB2312" w:hAnsi="仿宋_GB2312" w:eastAsia="仿宋_GB2312" w:cs="仿宋_GB2312"/>
          <w:color w:val="000000"/>
          <w:sz w:val="32"/>
          <w:szCs w:val="32"/>
        </w:rPr>
        <w:t>规则</w:t>
      </w:r>
    </w:p>
    <w:p w14:paraId="7F52D1A5">
      <w:pPr>
        <w:tabs>
          <w:tab w:val="left" w:pos="3135"/>
        </w:tabs>
        <w:spacing w:line="54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按照作品不同的表现形式分设两个组（静态图片、动态作品）。评审专家根据参赛作品的规范性、可读性、技术性、创新性、艺术性进行量化评价。</w:t>
      </w:r>
    </w:p>
    <w:p w14:paraId="10B7254A">
      <w:pPr>
        <w:tabs>
          <w:tab w:val="left" w:pos="3135"/>
        </w:tabs>
        <w:spacing w:line="540" w:lineRule="exact"/>
        <w:ind w:firstLine="640"/>
        <w:jc w:val="center"/>
        <w:rPr>
          <w:rFonts w:hint="eastAsia" w:ascii="仿宋_GB2312" w:hAnsi="仿宋_GB2312" w:eastAsia="仿宋_GB2312" w:cs="仿宋_GB2312"/>
          <w:color w:val="000000"/>
          <w:sz w:val="32"/>
          <w:szCs w:val="32"/>
        </w:rPr>
      </w:pPr>
    </w:p>
    <w:p w14:paraId="17F27983">
      <w:pPr>
        <w:tabs>
          <w:tab w:val="left" w:pos="3135"/>
        </w:tabs>
        <w:spacing w:line="540" w:lineRule="exact"/>
        <w:ind w:firstLine="640"/>
        <w:jc w:val="center"/>
        <w:rPr>
          <w:rFonts w:hint="eastAsia" w:ascii="仿宋_GB2312" w:hAnsi="仿宋_GB2312" w:eastAsia="仿宋_GB2312" w:cs="仿宋_GB2312"/>
          <w:color w:val="000000"/>
          <w:sz w:val="32"/>
          <w:szCs w:val="32"/>
        </w:rPr>
      </w:pPr>
    </w:p>
    <w:p w14:paraId="0E681B5B">
      <w:pPr>
        <w:tabs>
          <w:tab w:val="left" w:pos="3135"/>
        </w:tabs>
        <w:spacing w:line="540" w:lineRule="exact"/>
        <w:ind w:firstLine="640"/>
        <w:jc w:val="center"/>
        <w:rPr>
          <w:rFonts w:hint="eastAsia" w:ascii="仿宋_GB2312" w:hAnsi="仿宋_GB2312" w:eastAsia="仿宋_GB2312" w:cs="仿宋_GB2312"/>
          <w:color w:val="000000"/>
          <w:sz w:val="32"/>
          <w:szCs w:val="32"/>
        </w:rPr>
      </w:pPr>
    </w:p>
    <w:p w14:paraId="55D3F10E">
      <w:pPr>
        <w:tabs>
          <w:tab w:val="left" w:pos="3135"/>
        </w:tabs>
        <w:spacing w:line="540" w:lineRule="exact"/>
        <w:jc w:val="both"/>
        <w:rPr>
          <w:rFonts w:hint="eastAsia" w:ascii="仿宋_GB2312" w:hAnsi="仿宋_GB2312" w:eastAsia="仿宋_GB2312" w:cs="仿宋_GB2312"/>
          <w:color w:val="000000"/>
          <w:sz w:val="32"/>
          <w:szCs w:val="32"/>
        </w:rPr>
      </w:pPr>
    </w:p>
    <w:p w14:paraId="31FD1FD9">
      <w:pPr>
        <w:tabs>
          <w:tab w:val="left" w:pos="3135"/>
        </w:tabs>
        <w:spacing w:line="540" w:lineRule="exact"/>
        <w:jc w:val="both"/>
        <w:rPr>
          <w:rFonts w:hint="eastAsia" w:ascii="仿宋_GB2312" w:hAnsi="仿宋_GB2312" w:eastAsia="仿宋_GB2312" w:cs="仿宋_GB2312"/>
          <w:color w:val="000000"/>
          <w:sz w:val="32"/>
          <w:szCs w:val="32"/>
        </w:rPr>
      </w:pPr>
    </w:p>
    <w:p w14:paraId="43F91D37">
      <w:pPr>
        <w:tabs>
          <w:tab w:val="left" w:pos="3135"/>
        </w:tabs>
        <w:spacing w:line="540" w:lineRule="exact"/>
        <w:ind w:firstLine="64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表1 可视化作品评分表</w:t>
      </w:r>
    </w:p>
    <w:tbl>
      <w:tblPr>
        <w:tblStyle w:val="6"/>
        <w:tblpPr w:leftFromText="180" w:rightFromText="180" w:vertAnchor="text" w:horzAnchor="page" w:tblpX="1884" w:tblpY="156"/>
        <w:tblOverlap w:val="never"/>
        <w:tblW w:w="8436" w:type="dxa"/>
        <w:tblInd w:w="0" w:type="dxa"/>
        <w:tblLayout w:type="fixed"/>
        <w:tblCellMar>
          <w:top w:w="0" w:type="dxa"/>
          <w:left w:w="108" w:type="dxa"/>
          <w:bottom w:w="0" w:type="dxa"/>
          <w:right w:w="108" w:type="dxa"/>
        </w:tblCellMar>
      </w:tblPr>
      <w:tblGrid>
        <w:gridCol w:w="655"/>
        <w:gridCol w:w="1011"/>
        <w:gridCol w:w="5711"/>
        <w:gridCol w:w="1059"/>
      </w:tblGrid>
      <w:tr w14:paraId="52E87E6C">
        <w:tblPrEx>
          <w:tblCellMar>
            <w:top w:w="0" w:type="dxa"/>
            <w:left w:w="108" w:type="dxa"/>
            <w:bottom w:w="0" w:type="dxa"/>
            <w:right w:w="108" w:type="dxa"/>
          </w:tblCellMar>
        </w:tblPrEx>
        <w:trPr>
          <w:trHeight w:val="402" w:hRule="atLeast"/>
        </w:trPr>
        <w:tc>
          <w:tcPr>
            <w:tcW w:w="655" w:type="dxa"/>
            <w:tcBorders>
              <w:top w:val="single" w:color="000000" w:sz="12" w:space="0"/>
              <w:left w:val="single" w:color="000000" w:sz="12" w:space="0"/>
              <w:bottom w:val="single" w:color="000000" w:sz="12" w:space="0"/>
              <w:right w:val="single" w:color="000000" w:sz="6" w:space="0"/>
            </w:tcBorders>
            <w:shd w:val="clear" w:color="auto" w:fill="auto"/>
            <w:tcMar>
              <w:left w:w="80" w:type="dxa"/>
              <w:right w:w="80" w:type="dxa"/>
            </w:tcMar>
            <w:vAlign w:val="top"/>
          </w:tcPr>
          <w:p w14:paraId="64DD4E42">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1011" w:type="dxa"/>
            <w:tcBorders>
              <w:top w:val="single" w:color="000000" w:sz="12" w:space="0"/>
              <w:left w:val="single" w:color="000000" w:sz="6" w:space="0"/>
              <w:bottom w:val="single" w:color="000000" w:sz="12" w:space="0"/>
              <w:right w:val="single" w:color="000000" w:sz="6" w:space="0"/>
            </w:tcBorders>
            <w:shd w:val="clear" w:color="auto" w:fill="auto"/>
            <w:tcMar>
              <w:left w:w="80" w:type="dxa"/>
              <w:right w:w="80" w:type="dxa"/>
            </w:tcMar>
            <w:vAlign w:val="top"/>
          </w:tcPr>
          <w:p w14:paraId="0684A3FC">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Cs w:val="21"/>
              </w:rPr>
            </w:pPr>
            <w:r>
              <w:rPr>
                <w:rFonts w:hint="eastAsia" w:ascii="仿宋_GB2312" w:hAnsi="仿宋_GB2312" w:eastAsia="仿宋_GB2312" w:cs="仿宋_GB2312"/>
                <w:color w:val="000000"/>
                <w:szCs w:val="21"/>
              </w:rPr>
              <w:t>评价要素</w:t>
            </w:r>
          </w:p>
        </w:tc>
        <w:tc>
          <w:tcPr>
            <w:tcW w:w="5711" w:type="dxa"/>
            <w:tcBorders>
              <w:top w:val="single" w:color="000000" w:sz="12" w:space="0"/>
              <w:left w:val="single" w:color="000000" w:sz="6" w:space="0"/>
              <w:bottom w:val="single" w:color="000000" w:sz="12" w:space="0"/>
              <w:right w:val="single" w:color="000000" w:sz="4" w:space="0"/>
            </w:tcBorders>
            <w:shd w:val="clear" w:color="auto" w:fill="auto"/>
            <w:tcMar>
              <w:left w:w="80" w:type="dxa"/>
              <w:right w:w="80" w:type="dxa"/>
            </w:tcMar>
            <w:vAlign w:val="top"/>
          </w:tcPr>
          <w:p w14:paraId="28BC569E">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评  分  内  容</w:t>
            </w:r>
          </w:p>
        </w:tc>
        <w:tc>
          <w:tcPr>
            <w:tcW w:w="1059" w:type="dxa"/>
            <w:tcBorders>
              <w:top w:val="single" w:color="000000" w:sz="12" w:space="0"/>
              <w:left w:val="single" w:color="000000" w:sz="4" w:space="0"/>
              <w:bottom w:val="single" w:color="000000" w:sz="12" w:space="0"/>
              <w:right w:val="single" w:color="000000" w:sz="4" w:space="0"/>
            </w:tcBorders>
            <w:shd w:val="clear" w:color="auto" w:fill="auto"/>
            <w:tcMar>
              <w:left w:w="80" w:type="dxa"/>
              <w:right w:w="80" w:type="dxa"/>
            </w:tcMar>
            <w:vAlign w:val="top"/>
          </w:tcPr>
          <w:p w14:paraId="1EF49356">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项目满分</w:t>
            </w:r>
          </w:p>
        </w:tc>
      </w:tr>
      <w:tr w14:paraId="0AE089D0">
        <w:tblPrEx>
          <w:tblCellMar>
            <w:top w:w="0" w:type="dxa"/>
            <w:left w:w="108" w:type="dxa"/>
            <w:bottom w:w="0" w:type="dxa"/>
            <w:right w:w="108" w:type="dxa"/>
          </w:tblCellMar>
        </w:tblPrEx>
        <w:trPr>
          <w:trHeight w:val="705" w:hRule="atLeast"/>
        </w:trPr>
        <w:tc>
          <w:tcPr>
            <w:tcW w:w="655" w:type="dxa"/>
            <w:tcBorders>
              <w:top w:val="single" w:color="000000" w:sz="12" w:space="0"/>
              <w:left w:val="single" w:color="000000" w:sz="12" w:space="0"/>
              <w:bottom w:val="single" w:color="000000" w:sz="6" w:space="0"/>
              <w:right w:val="single" w:color="000000" w:sz="6" w:space="0"/>
            </w:tcBorders>
            <w:shd w:val="clear" w:color="auto" w:fill="auto"/>
            <w:tcMar>
              <w:left w:w="80" w:type="dxa"/>
              <w:right w:w="80" w:type="dxa"/>
            </w:tcMar>
            <w:vAlign w:val="center"/>
          </w:tcPr>
          <w:p w14:paraId="64B6FCBE">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1</w:t>
            </w:r>
          </w:p>
        </w:tc>
        <w:tc>
          <w:tcPr>
            <w:tcW w:w="1011" w:type="dxa"/>
            <w:tcBorders>
              <w:top w:val="single" w:color="000000" w:sz="12"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7749C1F6">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规范性</w:t>
            </w:r>
          </w:p>
        </w:tc>
        <w:tc>
          <w:tcPr>
            <w:tcW w:w="5711" w:type="dxa"/>
            <w:tcBorders>
              <w:top w:val="single" w:color="000000" w:sz="12"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59125EFA">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color w:val="000000"/>
                <w:szCs w:val="21"/>
              </w:rPr>
              <w:t>作品选题符合要求、格式规范、数据信息与语言表达准确、结构完整、主题突出</w:t>
            </w:r>
          </w:p>
        </w:tc>
        <w:tc>
          <w:tcPr>
            <w:tcW w:w="1059" w:type="dxa"/>
            <w:tcBorders>
              <w:top w:val="single" w:color="000000" w:sz="12"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5F3EFF69">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20</w:t>
            </w:r>
          </w:p>
        </w:tc>
      </w:tr>
      <w:tr w14:paraId="082EB5F9">
        <w:tblPrEx>
          <w:tblCellMar>
            <w:top w:w="0" w:type="dxa"/>
            <w:left w:w="108" w:type="dxa"/>
            <w:bottom w:w="0" w:type="dxa"/>
            <w:right w:w="108" w:type="dxa"/>
          </w:tblCellMar>
        </w:tblPrEx>
        <w:trPr>
          <w:trHeight w:val="671" w:hRule="atLeast"/>
        </w:trPr>
        <w:tc>
          <w:tcPr>
            <w:tcW w:w="655" w:type="dxa"/>
            <w:tcBorders>
              <w:top w:val="single" w:color="000000" w:sz="6" w:space="0"/>
              <w:left w:val="single" w:color="000000" w:sz="12" w:space="0"/>
              <w:bottom w:val="single" w:color="000000" w:sz="6" w:space="0"/>
              <w:right w:val="single" w:color="000000" w:sz="6" w:space="0"/>
            </w:tcBorders>
            <w:shd w:val="clear" w:color="auto" w:fill="auto"/>
            <w:tcMar>
              <w:left w:w="80" w:type="dxa"/>
              <w:right w:w="80" w:type="dxa"/>
            </w:tcMar>
            <w:vAlign w:val="center"/>
          </w:tcPr>
          <w:p w14:paraId="6A672E56">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011" w:type="dxa"/>
            <w:tcBorders>
              <w:top w:val="single" w:color="000000" w:sz="6"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0CE0A2A9">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可读性</w:t>
            </w:r>
          </w:p>
        </w:tc>
        <w:tc>
          <w:tcPr>
            <w:tcW w:w="5711" w:type="dxa"/>
            <w:tcBorders>
              <w:top w:val="single" w:color="000000" w:sz="6"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6573372A">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color w:val="000000"/>
                <w:szCs w:val="21"/>
              </w:rPr>
              <w:t>可视化程度较高，直观，易于理解，能清晰、有效的进行信息传递</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4639F9CB">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30</w:t>
            </w:r>
          </w:p>
        </w:tc>
      </w:tr>
      <w:tr w14:paraId="237B9AE5">
        <w:tblPrEx>
          <w:tblCellMar>
            <w:top w:w="0" w:type="dxa"/>
            <w:left w:w="108" w:type="dxa"/>
            <w:bottom w:w="0" w:type="dxa"/>
            <w:right w:w="108" w:type="dxa"/>
          </w:tblCellMar>
        </w:tblPrEx>
        <w:trPr>
          <w:trHeight w:val="677" w:hRule="atLeast"/>
        </w:trPr>
        <w:tc>
          <w:tcPr>
            <w:tcW w:w="655" w:type="dxa"/>
            <w:tcBorders>
              <w:top w:val="single" w:color="000000" w:sz="6" w:space="0"/>
              <w:left w:val="single" w:color="000000" w:sz="12" w:space="0"/>
              <w:bottom w:val="single" w:color="000000" w:sz="6" w:space="0"/>
              <w:right w:val="single" w:color="000000" w:sz="6" w:space="0"/>
            </w:tcBorders>
            <w:shd w:val="clear" w:color="auto" w:fill="auto"/>
            <w:tcMar>
              <w:left w:w="80" w:type="dxa"/>
              <w:right w:w="80" w:type="dxa"/>
            </w:tcMar>
            <w:vAlign w:val="center"/>
          </w:tcPr>
          <w:p w14:paraId="6B1AFB0A">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1011" w:type="dxa"/>
            <w:tcBorders>
              <w:top w:val="single" w:color="000000" w:sz="6"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614CAA48">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技术性</w:t>
            </w:r>
          </w:p>
        </w:tc>
        <w:tc>
          <w:tcPr>
            <w:tcW w:w="5711" w:type="dxa"/>
            <w:tcBorders>
              <w:top w:val="single" w:color="000000" w:sz="6"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6CDF9464">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作品内容呈现具有一定的层次性，功能结构设计合理，技术手段要求较高，具备一定的数据建模能力和数据整理能力</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6159C3B0">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20</w:t>
            </w:r>
          </w:p>
        </w:tc>
      </w:tr>
      <w:tr w14:paraId="373C6F2F">
        <w:tblPrEx>
          <w:tblCellMar>
            <w:top w:w="0" w:type="dxa"/>
            <w:left w:w="108" w:type="dxa"/>
            <w:bottom w:w="0" w:type="dxa"/>
            <w:right w:w="108" w:type="dxa"/>
          </w:tblCellMar>
        </w:tblPrEx>
        <w:trPr>
          <w:trHeight w:val="671" w:hRule="atLeast"/>
        </w:trPr>
        <w:tc>
          <w:tcPr>
            <w:tcW w:w="655" w:type="dxa"/>
            <w:tcBorders>
              <w:top w:val="single" w:color="000000" w:sz="6" w:space="0"/>
              <w:left w:val="single" w:color="000000" w:sz="12" w:space="0"/>
              <w:bottom w:val="single" w:color="000000" w:sz="6" w:space="0"/>
              <w:right w:val="single" w:color="000000" w:sz="4" w:space="0"/>
            </w:tcBorders>
            <w:shd w:val="clear" w:color="auto" w:fill="auto"/>
            <w:tcMar>
              <w:left w:w="80" w:type="dxa"/>
              <w:right w:w="80" w:type="dxa"/>
            </w:tcMar>
            <w:vAlign w:val="center"/>
          </w:tcPr>
          <w:p w14:paraId="38B838D5">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1011" w:type="dxa"/>
            <w:tcBorders>
              <w:top w:val="single" w:color="000000" w:sz="6" w:space="0"/>
              <w:left w:val="single" w:color="000000" w:sz="4" w:space="0"/>
              <w:bottom w:val="single" w:color="000000" w:sz="6" w:space="0"/>
              <w:right w:val="single" w:color="000000" w:sz="4" w:space="0"/>
            </w:tcBorders>
            <w:shd w:val="clear" w:color="auto" w:fill="auto"/>
            <w:tcMar>
              <w:left w:w="80" w:type="dxa"/>
              <w:right w:w="80" w:type="dxa"/>
            </w:tcMar>
            <w:vAlign w:val="center"/>
          </w:tcPr>
          <w:p w14:paraId="45DBC6F5">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创新性</w:t>
            </w:r>
          </w:p>
        </w:tc>
        <w:tc>
          <w:tcPr>
            <w:tcW w:w="5711" w:type="dxa"/>
            <w:tcBorders>
              <w:top w:val="single" w:color="000000" w:sz="6" w:space="0"/>
              <w:left w:val="single" w:color="000000" w:sz="4" w:space="0"/>
              <w:bottom w:val="single" w:color="000000" w:sz="6" w:space="0"/>
              <w:right w:val="single" w:color="000000" w:sz="6" w:space="0"/>
            </w:tcBorders>
            <w:shd w:val="clear" w:color="auto" w:fill="auto"/>
            <w:tcMar>
              <w:left w:w="80" w:type="dxa"/>
              <w:right w:w="80" w:type="dxa"/>
            </w:tcMar>
            <w:vAlign w:val="center"/>
          </w:tcPr>
          <w:p w14:paraId="6692637A">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构思有创意、表达方式有新意、技术手段与方法有创新，能够为解决实际工作问题提供决策方案</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left w:w="80" w:type="dxa"/>
              <w:right w:w="80" w:type="dxa"/>
            </w:tcMar>
            <w:vAlign w:val="center"/>
          </w:tcPr>
          <w:p w14:paraId="58E1E499">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20</w:t>
            </w:r>
          </w:p>
        </w:tc>
      </w:tr>
      <w:tr w14:paraId="737350FF">
        <w:tblPrEx>
          <w:tblCellMar>
            <w:top w:w="0" w:type="dxa"/>
            <w:left w:w="108" w:type="dxa"/>
            <w:bottom w:w="0" w:type="dxa"/>
            <w:right w:w="108" w:type="dxa"/>
          </w:tblCellMar>
        </w:tblPrEx>
        <w:trPr>
          <w:trHeight w:val="671" w:hRule="atLeast"/>
        </w:trPr>
        <w:tc>
          <w:tcPr>
            <w:tcW w:w="655" w:type="dxa"/>
            <w:tcBorders>
              <w:top w:val="single" w:color="000000" w:sz="6" w:space="0"/>
              <w:left w:val="single" w:color="000000" w:sz="12" w:space="0"/>
              <w:bottom w:val="single" w:color="000000" w:sz="12" w:space="0"/>
              <w:right w:val="single" w:color="000000" w:sz="4" w:space="0"/>
            </w:tcBorders>
            <w:shd w:val="clear" w:color="auto" w:fill="auto"/>
            <w:tcMar>
              <w:left w:w="80" w:type="dxa"/>
              <w:right w:w="80" w:type="dxa"/>
            </w:tcMar>
            <w:vAlign w:val="center"/>
          </w:tcPr>
          <w:p w14:paraId="3B323ECB">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5</w:t>
            </w:r>
          </w:p>
        </w:tc>
        <w:tc>
          <w:tcPr>
            <w:tcW w:w="1011" w:type="dxa"/>
            <w:tcBorders>
              <w:top w:val="single" w:color="000000" w:sz="6" w:space="0"/>
              <w:left w:val="single" w:color="000000" w:sz="4" w:space="0"/>
              <w:bottom w:val="single" w:color="000000" w:sz="12" w:space="0"/>
              <w:right w:val="single" w:color="000000" w:sz="4" w:space="0"/>
            </w:tcBorders>
            <w:shd w:val="clear" w:color="auto" w:fill="auto"/>
            <w:tcMar>
              <w:left w:w="80" w:type="dxa"/>
              <w:right w:w="80" w:type="dxa"/>
            </w:tcMar>
            <w:vAlign w:val="center"/>
          </w:tcPr>
          <w:p w14:paraId="79099372">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艺术性</w:t>
            </w:r>
          </w:p>
        </w:tc>
        <w:tc>
          <w:tcPr>
            <w:tcW w:w="5711" w:type="dxa"/>
            <w:tcBorders>
              <w:top w:val="single" w:color="000000" w:sz="6" w:space="0"/>
              <w:left w:val="single" w:color="000000" w:sz="4" w:space="0"/>
              <w:bottom w:val="single" w:color="000000" w:sz="12" w:space="0"/>
              <w:right w:val="single" w:color="000000" w:sz="6" w:space="0"/>
            </w:tcBorders>
            <w:shd w:val="clear" w:color="auto" w:fill="auto"/>
            <w:tcMar>
              <w:left w:w="80" w:type="dxa"/>
              <w:right w:w="80" w:type="dxa"/>
            </w:tcMar>
            <w:vAlign w:val="center"/>
          </w:tcPr>
          <w:p w14:paraId="6030632A">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color w:val="000000"/>
                <w:szCs w:val="21"/>
              </w:rPr>
              <w:t>美观、优雅，具有冲击力和说服力，是科学、艺术和设计的较好结合</w:t>
            </w:r>
          </w:p>
        </w:tc>
        <w:tc>
          <w:tcPr>
            <w:tcW w:w="1059" w:type="dxa"/>
            <w:tcBorders>
              <w:top w:val="single" w:color="000000" w:sz="6" w:space="0"/>
              <w:left w:val="single" w:color="000000" w:sz="6" w:space="0"/>
              <w:bottom w:val="single" w:color="000000" w:sz="12" w:space="0"/>
              <w:right w:val="single" w:color="000000" w:sz="6" w:space="0"/>
            </w:tcBorders>
            <w:shd w:val="clear" w:color="auto" w:fill="auto"/>
            <w:tcMar>
              <w:left w:w="80" w:type="dxa"/>
              <w:right w:w="80" w:type="dxa"/>
            </w:tcMar>
            <w:vAlign w:val="center"/>
          </w:tcPr>
          <w:p w14:paraId="7FD9959B">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szCs w:val="21"/>
              </w:rPr>
            </w:pPr>
            <w:r>
              <w:rPr>
                <w:rFonts w:hint="eastAsia" w:ascii="仿宋_GB2312" w:hAnsi="仿宋_GB2312" w:eastAsia="仿宋_GB2312" w:cs="仿宋_GB2312"/>
                <w:color w:val="000000"/>
                <w:szCs w:val="21"/>
              </w:rPr>
              <w:t>10</w:t>
            </w:r>
          </w:p>
        </w:tc>
      </w:tr>
      <w:tr w14:paraId="34BF3601">
        <w:tblPrEx>
          <w:tblCellMar>
            <w:top w:w="0" w:type="dxa"/>
            <w:left w:w="108" w:type="dxa"/>
            <w:bottom w:w="0" w:type="dxa"/>
            <w:right w:w="108" w:type="dxa"/>
          </w:tblCellMar>
        </w:tblPrEx>
        <w:trPr>
          <w:trHeight w:val="419" w:hRule="atLeast"/>
        </w:trPr>
        <w:tc>
          <w:tcPr>
            <w:tcW w:w="7377" w:type="dxa"/>
            <w:gridSpan w:val="3"/>
            <w:tcBorders>
              <w:top w:val="single" w:color="000000" w:sz="6" w:space="0"/>
              <w:left w:val="single" w:color="000000" w:sz="12" w:space="0"/>
              <w:bottom w:val="single" w:color="000000" w:sz="12" w:space="0"/>
              <w:right w:val="single" w:color="000000" w:sz="6" w:space="0"/>
            </w:tcBorders>
            <w:shd w:val="clear" w:color="auto" w:fill="auto"/>
            <w:tcMar>
              <w:left w:w="80" w:type="dxa"/>
              <w:right w:w="80" w:type="dxa"/>
            </w:tcMar>
            <w:vAlign w:val="top"/>
          </w:tcPr>
          <w:p w14:paraId="0277B379">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Cs w:val="21"/>
              </w:rPr>
            </w:pPr>
            <w:r>
              <w:rPr>
                <w:rFonts w:hint="eastAsia" w:ascii="仿宋_GB2312" w:hAnsi="仿宋_GB2312" w:eastAsia="仿宋_GB2312" w:cs="仿宋_GB2312"/>
                <w:color w:val="000000"/>
                <w:szCs w:val="21"/>
              </w:rPr>
              <w:t>总分</w:t>
            </w:r>
          </w:p>
        </w:tc>
        <w:tc>
          <w:tcPr>
            <w:tcW w:w="1059" w:type="dxa"/>
            <w:tcBorders>
              <w:top w:val="single" w:color="000000" w:sz="6" w:space="0"/>
              <w:left w:val="single" w:color="000000" w:sz="6" w:space="0"/>
              <w:bottom w:val="single" w:color="000000" w:sz="12" w:space="0"/>
              <w:right w:val="single" w:color="000000" w:sz="6" w:space="0"/>
            </w:tcBorders>
            <w:shd w:val="clear" w:color="auto" w:fill="auto"/>
            <w:tcMar>
              <w:left w:w="80" w:type="dxa"/>
              <w:right w:w="80" w:type="dxa"/>
            </w:tcMar>
            <w:vAlign w:val="top"/>
          </w:tcPr>
          <w:p w14:paraId="670078C0">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14:paraId="6AE2634A">
        <w:tblPrEx>
          <w:tblCellMar>
            <w:top w:w="0" w:type="dxa"/>
            <w:left w:w="108" w:type="dxa"/>
            <w:bottom w:w="0" w:type="dxa"/>
            <w:right w:w="108" w:type="dxa"/>
          </w:tblCellMar>
        </w:tblPrEx>
        <w:trPr>
          <w:trHeight w:val="1092" w:hRule="atLeast"/>
        </w:trPr>
        <w:tc>
          <w:tcPr>
            <w:tcW w:w="1666" w:type="dxa"/>
            <w:gridSpan w:val="2"/>
            <w:tcBorders>
              <w:top w:val="single" w:color="000000" w:sz="6" w:space="0"/>
              <w:left w:val="single" w:color="000000" w:sz="12" w:space="0"/>
              <w:bottom w:val="single" w:color="000000" w:sz="12" w:space="0"/>
              <w:right w:val="single" w:color="000000" w:sz="4" w:space="0"/>
            </w:tcBorders>
            <w:shd w:val="clear" w:color="auto" w:fill="auto"/>
            <w:tcMar>
              <w:left w:w="80" w:type="dxa"/>
              <w:right w:w="80" w:type="dxa"/>
            </w:tcMar>
            <w:vAlign w:val="center"/>
          </w:tcPr>
          <w:p w14:paraId="54E5E9C2">
            <w:pPr>
              <w:keepNext w:val="0"/>
              <w:keepLines w:val="0"/>
              <w:suppressLineNumbers w:val="0"/>
              <w:spacing w:before="0" w:beforeAutospacing="0" w:after="0" w:afterAutospacing="0" w:line="540" w:lineRule="exact"/>
              <w:ind w:left="0" w:right="0"/>
              <w:jc w:val="center"/>
              <w:rPr>
                <w:rFonts w:hint="default"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加分项</w:t>
            </w:r>
          </w:p>
        </w:tc>
        <w:tc>
          <w:tcPr>
            <w:tcW w:w="5711" w:type="dxa"/>
            <w:tcBorders>
              <w:top w:val="single" w:color="000000" w:sz="6" w:space="0"/>
              <w:left w:val="single" w:color="000000" w:sz="4" w:space="0"/>
              <w:bottom w:val="single" w:color="000000" w:sz="12" w:space="0"/>
              <w:right w:val="single" w:color="000000" w:sz="6" w:space="0"/>
            </w:tcBorders>
            <w:shd w:val="clear" w:color="auto" w:fill="auto"/>
            <w:tcMar>
              <w:left w:w="80" w:type="dxa"/>
              <w:right w:w="80" w:type="dxa"/>
            </w:tcMar>
            <w:vAlign w:val="center"/>
          </w:tcPr>
          <w:p w14:paraId="221B90B4">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作品采用先进的数据可视化技术，如三维渲染、动态数据等准确传达数据信息，能够通过数据可视化有效地解决问题或提供决策支持。</w:t>
            </w:r>
          </w:p>
        </w:tc>
        <w:tc>
          <w:tcPr>
            <w:tcW w:w="1059" w:type="dxa"/>
            <w:tcBorders>
              <w:top w:val="single" w:color="000000" w:sz="6" w:space="0"/>
              <w:left w:val="single" w:color="000000" w:sz="6" w:space="0"/>
              <w:bottom w:val="single" w:color="000000" w:sz="12" w:space="0"/>
              <w:right w:val="single" w:color="000000" w:sz="6" w:space="0"/>
            </w:tcBorders>
            <w:shd w:val="clear" w:color="auto" w:fill="auto"/>
            <w:tcMar>
              <w:left w:w="80" w:type="dxa"/>
              <w:right w:w="80" w:type="dxa"/>
            </w:tcMar>
            <w:vAlign w:val="center"/>
          </w:tcPr>
          <w:p w14:paraId="6A03EDD6">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评委视作品情况加2-5分</w:t>
            </w:r>
          </w:p>
        </w:tc>
      </w:tr>
    </w:tbl>
    <w:p w14:paraId="4B76DA05">
      <w:pPr>
        <w:tabs>
          <w:tab w:val="left" w:pos="3135"/>
        </w:tabs>
        <w:spacing w:line="54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注意事项：为进一步提高参赛作品质量，完成校级初赛，共遴选出10件作品推荐参加省赛。</w:t>
      </w:r>
    </w:p>
    <w:p w14:paraId="496DE942">
      <w:pPr>
        <w:keepNext w:val="0"/>
        <w:keepLines w:val="0"/>
        <w:widowControl w:val="0"/>
        <w:numPr>
          <w:ilvl w:val="0"/>
          <w:numId w:val="1"/>
        </w:numPr>
        <w:suppressLineNumbers w:val="0"/>
        <w:tabs>
          <w:tab w:val="left" w:pos="3135"/>
        </w:tabs>
        <w:spacing w:before="0" w:beforeAutospacing="0" w:after="0" w:afterAutospacing="0" w:line="540" w:lineRule="exact"/>
        <w:ind w:left="0" w:right="0" w:firstLine="64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省赛报名阶段（12</w:t>
      </w:r>
      <w:r>
        <w:rPr>
          <w:rFonts w:hint="eastAsia" w:ascii="仿宋_GB2312" w:hAnsi="仿宋_GB2312" w:eastAsia="仿宋_GB2312" w:cs="仿宋_GB2312"/>
          <w:kern w:val="0"/>
          <w:sz w:val="32"/>
          <w:szCs w:val="32"/>
          <w:lang w:val="en-US" w:eastAsia="zh-CN" w:bidi="ar"/>
        </w:rPr>
        <w:t>月6日—12月11日</w:t>
      </w:r>
      <w:r>
        <w:rPr>
          <w:rFonts w:hint="eastAsia" w:ascii="仿宋_GB2312" w:hAnsi="仿宋_GB2312" w:eastAsia="仿宋_GB2312" w:cs="仿宋_GB2312"/>
          <w:color w:val="000000"/>
          <w:kern w:val="0"/>
          <w:sz w:val="32"/>
          <w:szCs w:val="32"/>
          <w:lang w:val="en-US" w:eastAsia="zh-CN" w:bidi="ar"/>
        </w:rPr>
        <w:t>）</w:t>
      </w:r>
    </w:p>
    <w:p w14:paraId="3881D88F">
      <w:pPr>
        <w:keepNext w:val="0"/>
        <w:keepLines w:val="0"/>
        <w:widowControl w:val="0"/>
        <w:suppressLineNumbers w:val="0"/>
        <w:tabs>
          <w:tab w:val="left" w:pos="3135"/>
        </w:tabs>
        <w:spacing w:before="0" w:beforeAutospacing="0" w:after="0" w:afterAutospacing="0" w:line="540" w:lineRule="exact"/>
        <w:ind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（三）作品审核阶段（12月12日—12月18日）</w:t>
      </w:r>
    </w:p>
    <w:p w14:paraId="481DAF4E">
      <w:pPr>
        <w:tabs>
          <w:tab w:val="left" w:pos="3135"/>
        </w:tabs>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学生作品上传后，组委会组织工作人员对作品的主题内容进行审核，审核通过后的作品，可在平台中自行查阅，但不能再进行修改；未通过评审的作品，平台会短信告知参赛者，参赛者可以进行相应修改后继续提交审核。</w:t>
      </w:r>
    </w:p>
    <w:p w14:paraId="7866B3C7">
      <w:pPr>
        <w:numPr>
          <w:ilvl w:val="0"/>
          <w:numId w:val="2"/>
        </w:numPr>
        <w:tabs>
          <w:tab w:val="left" w:pos="3135"/>
        </w:tabs>
        <w:spacing w:line="54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专家线上评分阶段（</w:t>
      </w:r>
      <w:r>
        <w:rPr>
          <w:rFonts w:hint="eastAsia" w:ascii="仿宋_GB2312" w:hAnsi="仿宋_GB2312" w:eastAsia="仿宋_GB2312" w:cs="仿宋_GB2312"/>
          <w:color w:val="auto"/>
          <w:sz w:val="32"/>
          <w:szCs w:val="32"/>
        </w:rPr>
        <w:t>12月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日—12月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000000"/>
          <w:sz w:val="32"/>
          <w:szCs w:val="32"/>
        </w:rPr>
        <w:t>）</w:t>
      </w:r>
    </w:p>
    <w:p w14:paraId="5708C9B0">
      <w:pPr>
        <w:tabs>
          <w:tab w:val="left" w:pos="3135"/>
        </w:tabs>
        <w:spacing w:line="540" w:lineRule="exact"/>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rPr>
        <w:t>大赛将通过贵州省高校统计信息可视化专家库随机抽选评分专家，每一份作品将随机分配到3位评审专家，系统会自动避免评审专家评阅其所属院校学生作品，作品的最终成绩为3位评审专家的算术平均分。省赛组委会办公室从各组别选择前10%的队伍入围全省决赛名单。此外，全省参赛队伍数排名前三的高校将额外获得入围全省决赛名额1个。</w:t>
      </w:r>
    </w:p>
    <w:p w14:paraId="22281160">
      <w:pPr>
        <w:tabs>
          <w:tab w:val="left" w:pos="3135"/>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（五）全省</w:t>
      </w:r>
      <w:r>
        <w:rPr>
          <w:rFonts w:hint="eastAsia" w:ascii="仿宋_GB2312" w:hAnsi="仿宋_GB2312" w:eastAsia="仿宋_GB2312" w:cs="仿宋_GB2312"/>
          <w:sz w:val="32"/>
          <w:szCs w:val="32"/>
        </w:rPr>
        <w:t>决赛</w:t>
      </w:r>
      <w:r>
        <w:rPr>
          <w:rFonts w:hint="eastAsia" w:ascii="仿宋_GB2312" w:hAnsi="仿宋_GB2312" w:eastAsia="仿宋_GB2312" w:cs="仿宋_GB2312"/>
          <w:color w:val="000000"/>
          <w:sz w:val="32"/>
          <w:szCs w:val="32"/>
        </w:rPr>
        <w:t>（12月20日）</w:t>
      </w:r>
    </w:p>
    <w:p w14:paraId="1BF9A073">
      <w:pPr>
        <w:tabs>
          <w:tab w:val="left" w:pos="3135"/>
        </w:tabs>
        <w:spacing w:line="540" w:lineRule="exact"/>
        <w:ind w:firstLine="72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地点：贵阳人文科技学院教职工之家（大学城校区）</w:t>
      </w:r>
    </w:p>
    <w:p w14:paraId="3A035E58">
      <w:pPr>
        <w:tabs>
          <w:tab w:val="left" w:pos="3135"/>
        </w:tabs>
        <w:spacing w:line="540" w:lineRule="exact"/>
        <w:ind w:firstLine="72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入围决赛的团队需通过现场答辩的形式展示作品。</w:t>
      </w:r>
    </w:p>
    <w:p w14:paraId="5D9DBED7">
      <w:pPr>
        <w:tabs>
          <w:tab w:val="left" w:pos="3135"/>
        </w:tabs>
        <w:spacing w:line="540" w:lineRule="exac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决赛专家打分：通过贵州高校统计信息可视化专家库随机抽选5名评分专家，对进入省赛决赛的作品进行现场打分。</w:t>
      </w:r>
    </w:p>
    <w:p w14:paraId="103D6770">
      <w:pPr>
        <w:spacing w:line="540" w:lineRule="exact"/>
        <w:ind w:firstLine="643"/>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六、校赛奖项设置</w:t>
      </w:r>
    </w:p>
    <w:p w14:paraId="66850FA2">
      <w:pPr>
        <w:tabs>
          <w:tab w:val="left" w:pos="3135"/>
        </w:tabs>
        <w:spacing w:line="54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按照作品不同的表现形式分设奖项。即静态图片、动态作品各设一等奖2名、二等奖3名、三等奖5名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优秀奖10名</w:t>
      </w:r>
      <w:r>
        <w:rPr>
          <w:rFonts w:hint="eastAsia" w:ascii="仿宋_GB2312" w:hAnsi="仿宋_GB2312" w:eastAsia="仿宋_GB2312" w:cs="仿宋_GB2312"/>
          <w:color w:val="000000"/>
          <w:sz w:val="32"/>
          <w:szCs w:val="32"/>
        </w:rPr>
        <w:t>。</w:t>
      </w:r>
    </w:p>
    <w:p w14:paraId="619BB981">
      <w:pPr>
        <w:spacing w:line="540" w:lineRule="exact"/>
        <w:ind w:firstLine="643"/>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七、省赛奖项设置</w:t>
      </w:r>
    </w:p>
    <w:p w14:paraId="4B904566">
      <w:pPr>
        <w:tabs>
          <w:tab w:val="left" w:pos="3135"/>
        </w:tabs>
        <w:spacing w:line="54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作品奖</w:t>
      </w:r>
    </w:p>
    <w:p w14:paraId="5550A9F4">
      <w:pPr>
        <w:tabs>
          <w:tab w:val="left" w:pos="3135"/>
        </w:tabs>
        <w:spacing w:line="540" w:lineRule="exact"/>
        <w:ind w:left="17" w:leftChars="8" w:firstLine="617" w:firstLineChars="193"/>
        <w:jc w:val="left"/>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各赛道分设奖项，每个赛道一等奖2支队伍、二等奖3支队伍、入围决赛剩余队伍均为三等奖，</w:t>
      </w:r>
      <w:r>
        <w:rPr>
          <w:rFonts w:hint="eastAsia" w:ascii="仿宋_GB2312" w:hAnsi="仿宋_GB2312" w:eastAsia="仿宋_GB2312" w:cs="仿宋_GB2312"/>
          <w:sz w:val="32"/>
          <w:szCs w:val="32"/>
        </w:rPr>
        <w:t>最佳关注奖1支队伍。</w:t>
      </w:r>
    </w:p>
    <w:p w14:paraId="378FA21E">
      <w:pPr>
        <w:tabs>
          <w:tab w:val="left" w:pos="3135"/>
        </w:tabs>
        <w:spacing w:line="540" w:lineRule="exact"/>
        <w:ind w:left="17" w:leftChars="8" w:firstLine="617" w:firstLineChars="193"/>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组织奖</w:t>
      </w:r>
    </w:p>
    <w:p w14:paraId="5BFC8E1D">
      <w:pPr>
        <w:pStyle w:val="11"/>
        <w:tabs>
          <w:tab w:val="left" w:pos="3135"/>
        </w:tabs>
        <w:spacing w:line="360" w:lineRule="auto"/>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根据各高校组织赛事情况推荐一所高校荣获最佳组织奖。</w:t>
      </w:r>
    </w:p>
    <w:p w14:paraId="01AF6BBC">
      <w:pPr>
        <w:tabs>
          <w:tab w:val="left" w:pos="3135"/>
        </w:tabs>
        <w:spacing w:line="540" w:lineRule="exact"/>
        <w:ind w:left="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指导老师奖</w:t>
      </w:r>
    </w:p>
    <w:p w14:paraId="58BF03A8">
      <w:pPr>
        <w:tabs>
          <w:tab w:val="left" w:pos="0"/>
          <w:tab w:val="left" w:pos="3135"/>
        </w:tabs>
        <w:spacing w:line="540" w:lineRule="exact"/>
        <w:ind w:left="17" w:leftChars="8" w:firstLine="617" w:firstLineChars="193"/>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入围决赛队伍指导教师颁发可视化作品优秀指导教师奖证书。</w:t>
      </w:r>
    </w:p>
    <w:p w14:paraId="53E116CF">
      <w:pPr>
        <w:tabs>
          <w:tab w:val="left" w:pos="3135"/>
        </w:tabs>
        <w:wordWrap w:val="0"/>
        <w:spacing w:line="540" w:lineRule="exact"/>
        <w:ind w:firstLine="64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贵州商学院</w:t>
      </w:r>
      <w:r>
        <w:rPr>
          <w:rFonts w:hint="eastAsia" w:ascii="仿宋_GB2312" w:hAnsi="仿宋_GB2312" w:eastAsia="仿宋_GB2312" w:cs="仿宋_GB2312"/>
          <w:color w:val="000000"/>
          <w:sz w:val="32"/>
          <w:szCs w:val="32"/>
          <w:lang w:val="en-US" w:eastAsia="zh-CN"/>
        </w:rPr>
        <w:t>工商</w:t>
      </w:r>
      <w:r>
        <w:rPr>
          <w:rFonts w:hint="eastAsia" w:ascii="仿宋_GB2312" w:hAnsi="仿宋_GB2312" w:eastAsia="仿宋_GB2312" w:cs="仿宋_GB2312"/>
          <w:color w:val="000000"/>
          <w:sz w:val="32"/>
          <w:szCs w:val="32"/>
        </w:rPr>
        <w:t>管理学院</w:t>
      </w:r>
    </w:p>
    <w:p w14:paraId="44463573">
      <w:pPr>
        <w:tabs>
          <w:tab w:val="left" w:pos="3135"/>
        </w:tabs>
        <w:wordWrap w:val="0"/>
        <w:spacing w:line="540" w:lineRule="exact"/>
        <w:ind w:firstLine="64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 xml:space="preserve">日 </w:t>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D0C4C04-0F26-41D3-AB8F-BB4D0B2E7D5F}"/>
  </w:font>
  <w:font w:name="黑体">
    <w:panose1 w:val="02010609060101010101"/>
    <w:charset w:val="86"/>
    <w:family w:val="auto"/>
    <w:pitch w:val="default"/>
    <w:sig w:usb0="800002BF" w:usb1="38CF7CFA" w:usb2="00000016" w:usb3="00000000" w:csb0="00040001" w:csb1="00000000"/>
    <w:embedRegular r:id="rId2" w:fontKey="{C852D9F2-EFBC-4C1F-9393-8A418FEC87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91DD4BB-4F99-46B3-BCD4-265CA8A57E66}"/>
  </w:font>
  <w:font w:name="Cambria">
    <w:panose1 w:val="02040503050406030204"/>
    <w:charset w:val="00"/>
    <w:family w:val="roman"/>
    <w:pitch w:val="default"/>
    <w:sig w:usb0="E00002FF" w:usb1="400004FF" w:usb2="00000000" w:usb3="00000000" w:csb0="2000019F" w:csb1="00000000"/>
  </w:font>
  <w:font w:name="方正小标宋简体">
    <w:panose1 w:val="02010600010101010101"/>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4" w:fontKey="{022867C3-4EC3-4BFE-BB8B-E98A44CB182D}"/>
  </w:font>
  <w:font w:name="仿宋_GB2312">
    <w:altName w:val="仿宋"/>
    <w:panose1 w:val="02010609030101010101"/>
    <w:charset w:val="86"/>
    <w:family w:val="modern"/>
    <w:pitch w:val="default"/>
    <w:sig w:usb0="00000000" w:usb1="00000000" w:usb2="00000000" w:usb3="00000000" w:csb0="00040000" w:csb1="00000000"/>
    <w:embedRegular r:id="rId5" w:fontKey="{A92D8E1B-6657-49F6-859C-5101B2D7120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498001"/>
    </w:sdtPr>
    <w:sdtContent>
      <w:p w14:paraId="177AE614">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14:paraId="4CDD6ED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402DA"/>
    <w:multiLevelType w:val="singleLevel"/>
    <w:tmpl w:val="D65402DA"/>
    <w:lvl w:ilvl="0" w:tentative="0">
      <w:start w:val="2"/>
      <w:numFmt w:val="chineseCounting"/>
      <w:suff w:val="nothing"/>
      <w:lvlText w:val="（%1）"/>
      <w:lvlJc w:val="left"/>
      <w:rPr>
        <w:rFonts w:hint="eastAsia"/>
      </w:rPr>
    </w:lvl>
  </w:abstractNum>
  <w:abstractNum w:abstractNumId="1">
    <w:nsid w:val="2C02D0FE"/>
    <w:multiLevelType w:val="singleLevel"/>
    <w:tmpl w:val="2C02D0F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s>
  <w:rsids>
    <w:rsidRoot w:val="003A0CD4"/>
    <w:rsid w:val="00022C3E"/>
    <w:rsid w:val="000867BE"/>
    <w:rsid w:val="00186425"/>
    <w:rsid w:val="001A38AA"/>
    <w:rsid w:val="001B2466"/>
    <w:rsid w:val="001F2277"/>
    <w:rsid w:val="00225F96"/>
    <w:rsid w:val="0025045B"/>
    <w:rsid w:val="002A5E5A"/>
    <w:rsid w:val="00363343"/>
    <w:rsid w:val="003A0753"/>
    <w:rsid w:val="003A0CD4"/>
    <w:rsid w:val="003D2D90"/>
    <w:rsid w:val="00540F16"/>
    <w:rsid w:val="00594917"/>
    <w:rsid w:val="00612D8A"/>
    <w:rsid w:val="006C43AE"/>
    <w:rsid w:val="007628B4"/>
    <w:rsid w:val="00815C1E"/>
    <w:rsid w:val="009735E5"/>
    <w:rsid w:val="00A05F7B"/>
    <w:rsid w:val="00A61D2D"/>
    <w:rsid w:val="00A93887"/>
    <w:rsid w:val="00B34B39"/>
    <w:rsid w:val="00BC0D43"/>
    <w:rsid w:val="00BE1A62"/>
    <w:rsid w:val="00DD36E3"/>
    <w:rsid w:val="00E31A29"/>
    <w:rsid w:val="00EB4854"/>
    <w:rsid w:val="00EC43EC"/>
    <w:rsid w:val="00EF3AE2"/>
    <w:rsid w:val="00F2678A"/>
    <w:rsid w:val="018166D3"/>
    <w:rsid w:val="01A21A9D"/>
    <w:rsid w:val="01D6304F"/>
    <w:rsid w:val="02535CBD"/>
    <w:rsid w:val="02D37BCF"/>
    <w:rsid w:val="02E334E5"/>
    <w:rsid w:val="03031491"/>
    <w:rsid w:val="047D1717"/>
    <w:rsid w:val="055E5205"/>
    <w:rsid w:val="0575078D"/>
    <w:rsid w:val="060C6775"/>
    <w:rsid w:val="070E2AFA"/>
    <w:rsid w:val="07B718DF"/>
    <w:rsid w:val="09007A21"/>
    <w:rsid w:val="092625F4"/>
    <w:rsid w:val="0A872C6A"/>
    <w:rsid w:val="0A96708F"/>
    <w:rsid w:val="0D125D4F"/>
    <w:rsid w:val="0EE6290B"/>
    <w:rsid w:val="0FF26B15"/>
    <w:rsid w:val="10BB33AB"/>
    <w:rsid w:val="114371E5"/>
    <w:rsid w:val="114C73D8"/>
    <w:rsid w:val="122431D2"/>
    <w:rsid w:val="12AD30FC"/>
    <w:rsid w:val="12F104A9"/>
    <w:rsid w:val="13272F7A"/>
    <w:rsid w:val="141A2ADF"/>
    <w:rsid w:val="14450C1E"/>
    <w:rsid w:val="16E6103F"/>
    <w:rsid w:val="194903A0"/>
    <w:rsid w:val="19866520"/>
    <w:rsid w:val="19DE008F"/>
    <w:rsid w:val="1B154000"/>
    <w:rsid w:val="1B321A01"/>
    <w:rsid w:val="1BA722E7"/>
    <w:rsid w:val="1BD058DE"/>
    <w:rsid w:val="1BDD4B1E"/>
    <w:rsid w:val="1C407EBA"/>
    <w:rsid w:val="1C511E83"/>
    <w:rsid w:val="1D8A61E1"/>
    <w:rsid w:val="1D9C4C7C"/>
    <w:rsid w:val="1F0E37C5"/>
    <w:rsid w:val="2027280B"/>
    <w:rsid w:val="20362A4E"/>
    <w:rsid w:val="205F7CC2"/>
    <w:rsid w:val="20B770EB"/>
    <w:rsid w:val="21667DBF"/>
    <w:rsid w:val="21B16313"/>
    <w:rsid w:val="21CC7940"/>
    <w:rsid w:val="223707CE"/>
    <w:rsid w:val="23105A18"/>
    <w:rsid w:val="23EF2924"/>
    <w:rsid w:val="243F6497"/>
    <w:rsid w:val="247E455B"/>
    <w:rsid w:val="2582760D"/>
    <w:rsid w:val="25FD4F6E"/>
    <w:rsid w:val="26CA700E"/>
    <w:rsid w:val="278C564A"/>
    <w:rsid w:val="28A075FF"/>
    <w:rsid w:val="29906469"/>
    <w:rsid w:val="2A0D5708"/>
    <w:rsid w:val="2A27165A"/>
    <w:rsid w:val="2ADA66CC"/>
    <w:rsid w:val="2B0A5203"/>
    <w:rsid w:val="2B6561C7"/>
    <w:rsid w:val="2B8D4326"/>
    <w:rsid w:val="2E975000"/>
    <w:rsid w:val="2ECC1C73"/>
    <w:rsid w:val="2F1B34B3"/>
    <w:rsid w:val="329D4BAF"/>
    <w:rsid w:val="33095DA0"/>
    <w:rsid w:val="33233306"/>
    <w:rsid w:val="33554E3D"/>
    <w:rsid w:val="33E679EC"/>
    <w:rsid w:val="3502519D"/>
    <w:rsid w:val="35912C1B"/>
    <w:rsid w:val="35943F8A"/>
    <w:rsid w:val="35CF5181"/>
    <w:rsid w:val="367B5207"/>
    <w:rsid w:val="36AA789A"/>
    <w:rsid w:val="36FD79CA"/>
    <w:rsid w:val="3A3F7FAA"/>
    <w:rsid w:val="3A677DAB"/>
    <w:rsid w:val="3AB17449"/>
    <w:rsid w:val="3D047E90"/>
    <w:rsid w:val="3D840F05"/>
    <w:rsid w:val="3E593B3D"/>
    <w:rsid w:val="4002794F"/>
    <w:rsid w:val="409829D5"/>
    <w:rsid w:val="40BC4971"/>
    <w:rsid w:val="42F223AD"/>
    <w:rsid w:val="43A1055A"/>
    <w:rsid w:val="43CA3BDE"/>
    <w:rsid w:val="4488746D"/>
    <w:rsid w:val="459B4F7E"/>
    <w:rsid w:val="46492C2C"/>
    <w:rsid w:val="464949DA"/>
    <w:rsid w:val="47FE5C83"/>
    <w:rsid w:val="496C7872"/>
    <w:rsid w:val="4984193E"/>
    <w:rsid w:val="49942410"/>
    <w:rsid w:val="49DA388B"/>
    <w:rsid w:val="4AFB4933"/>
    <w:rsid w:val="4BAD4CA0"/>
    <w:rsid w:val="4CAD1EED"/>
    <w:rsid w:val="4D5454A4"/>
    <w:rsid w:val="4E0D0524"/>
    <w:rsid w:val="4F0F7663"/>
    <w:rsid w:val="509E1B55"/>
    <w:rsid w:val="50A4570B"/>
    <w:rsid w:val="50B415EA"/>
    <w:rsid w:val="50C03AEB"/>
    <w:rsid w:val="50C942EB"/>
    <w:rsid w:val="50E377D9"/>
    <w:rsid w:val="51BD4AD5"/>
    <w:rsid w:val="51F36142"/>
    <w:rsid w:val="525C1020"/>
    <w:rsid w:val="52FE4D9E"/>
    <w:rsid w:val="532760A3"/>
    <w:rsid w:val="53803A05"/>
    <w:rsid w:val="53BA6A09"/>
    <w:rsid w:val="54040192"/>
    <w:rsid w:val="541C1980"/>
    <w:rsid w:val="54576514"/>
    <w:rsid w:val="54842DD2"/>
    <w:rsid w:val="55540566"/>
    <w:rsid w:val="558E065B"/>
    <w:rsid w:val="55EC0984"/>
    <w:rsid w:val="55FB55C5"/>
    <w:rsid w:val="564927D4"/>
    <w:rsid w:val="57BA3FF9"/>
    <w:rsid w:val="57F30E97"/>
    <w:rsid w:val="594D4389"/>
    <w:rsid w:val="5A4D6916"/>
    <w:rsid w:val="5AED7BD2"/>
    <w:rsid w:val="5C0276AD"/>
    <w:rsid w:val="5C904CB9"/>
    <w:rsid w:val="5CC11EC4"/>
    <w:rsid w:val="5D4A1060"/>
    <w:rsid w:val="5D5A35EF"/>
    <w:rsid w:val="5EA902B4"/>
    <w:rsid w:val="5F9109BC"/>
    <w:rsid w:val="60B62814"/>
    <w:rsid w:val="62A274F4"/>
    <w:rsid w:val="62BA0ECA"/>
    <w:rsid w:val="634941E6"/>
    <w:rsid w:val="64C319A4"/>
    <w:rsid w:val="65DC0944"/>
    <w:rsid w:val="66F933CD"/>
    <w:rsid w:val="67B657F0"/>
    <w:rsid w:val="67CD56B3"/>
    <w:rsid w:val="692225A6"/>
    <w:rsid w:val="69882257"/>
    <w:rsid w:val="6A4B2471"/>
    <w:rsid w:val="6AC369D9"/>
    <w:rsid w:val="6ADF5030"/>
    <w:rsid w:val="6AF11870"/>
    <w:rsid w:val="6BA3774C"/>
    <w:rsid w:val="6C18550C"/>
    <w:rsid w:val="6CE45F66"/>
    <w:rsid w:val="6D1A2AB8"/>
    <w:rsid w:val="6D5F2E19"/>
    <w:rsid w:val="700C2F79"/>
    <w:rsid w:val="700C3A44"/>
    <w:rsid w:val="71192018"/>
    <w:rsid w:val="71436346"/>
    <w:rsid w:val="71DB657E"/>
    <w:rsid w:val="727349D0"/>
    <w:rsid w:val="750556C0"/>
    <w:rsid w:val="760E0CC1"/>
    <w:rsid w:val="76301681"/>
    <w:rsid w:val="76DD68F5"/>
    <w:rsid w:val="780836F0"/>
    <w:rsid w:val="7A4A13F7"/>
    <w:rsid w:val="7A513882"/>
    <w:rsid w:val="7A57156E"/>
    <w:rsid w:val="7BA619AB"/>
    <w:rsid w:val="7C8E18CB"/>
    <w:rsid w:val="7C9063B8"/>
    <w:rsid w:val="7CC83BA3"/>
    <w:rsid w:val="7D0E16C7"/>
    <w:rsid w:val="7F431738"/>
    <w:rsid w:val="7F563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宋体"/>
      <w:sz w:val="20"/>
      <w:szCs w:val="20"/>
    </w:rPr>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cs="黑体"/>
      <w:b/>
      <w:bCs/>
      <w:sz w:val="32"/>
      <w:szCs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列出段落1"/>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11">
    <w:name w:val="正文 A"/>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12">
    <w:name w:val="批注框文本 字符"/>
    <w:basedOn w:val="8"/>
    <w:link w:val="2"/>
    <w:qFormat/>
    <w:uiPriority w:val="99"/>
    <w:rPr>
      <w:sz w:val="18"/>
      <w:szCs w:val="18"/>
    </w:rPr>
  </w:style>
  <w:style w:type="paragraph" w:styleId="13">
    <w:name w:val="List Paragraph"/>
    <w:basedOn w:val="1"/>
    <w:qFormat/>
    <w:uiPriority w:val="99"/>
    <w:pPr>
      <w:ind w:firstLine="420" w:firstLineChars="200"/>
    </w:pPr>
  </w:style>
  <w:style w:type="paragraph" w:customStyle="1" w:styleId="14">
    <w:name w:val="修订1"/>
    <w:qFormat/>
    <w:uiPriority w:val="99"/>
    <w:rPr>
      <w:rFonts w:ascii="Calibri" w:hAnsi="Calibri" w:eastAsia="宋体" w:cs="宋体"/>
      <w:sz w:val="21"/>
      <w:szCs w:val="22"/>
      <w:lang w:val="en-US" w:eastAsia="zh-CN" w:bidi="ar-SA"/>
    </w:rPr>
  </w:style>
  <w:style w:type="character" w:customStyle="1" w:styleId="15">
    <w:name w:val="页眉 字符"/>
    <w:basedOn w:val="8"/>
    <w:link w:val="4"/>
    <w:qFormat/>
    <w:uiPriority w:val="0"/>
    <w:rPr>
      <w:sz w:val="18"/>
      <w:szCs w:val="18"/>
    </w:rPr>
  </w:style>
  <w:style w:type="character" w:customStyle="1" w:styleId="16">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3292</Words>
  <Characters>3439</Characters>
  <Lines>26</Lines>
  <Paragraphs>7</Paragraphs>
  <TotalTime>32</TotalTime>
  <ScaleCrop>false</ScaleCrop>
  <LinksUpToDate>false</LinksUpToDate>
  <CharactersWithSpaces>3484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2023-10-26T13:50:00Z</dcterms:created>
  <dc:creator>lenovo</dc:creator>
  <cp:lastModifiedBy> AnAn'Princess </cp:lastModifiedBy>
  <cp:lastPrinted>2024-11-13T07:15:00Z</cp:lastPrinted>
  <dcterms:modified xsi:type="dcterms:W3CDTF">2025-11-19T07:40:05Z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1721E1878F1E4DD88F7D1A65DDF928CA_13</vt:lpwstr>
  </property>
  <property fmtid="{D5CDD505-2E9C-101B-9397-08002B2CF9AE}" pid="4" name="KSOTemplateDocerSaveRecord">
    <vt:lpwstr>eyJoZGlkIjoiNzg1ZTEwOTQzOWYzZDM2NTlmODg1Y2E0ZmNiNzAzNTMiLCJ1c2VySWQiOiI2OTYwODI5MDIifQ==</vt:lpwstr>
  </property>
</Properties>
</file>