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440" w:lineRule="exact"/>
        <w:jc w:val="center"/>
        <w:rPr>
          <w:rFonts w:ascii="宋体" w:hAnsi="宋体"/>
          <w:b/>
          <w:color w:val="000000"/>
          <w:sz w:val="28"/>
          <w:szCs w:val="28"/>
        </w:rPr>
      </w:pPr>
      <w:bookmarkStart w:id="1" w:name="_GoBack"/>
      <w:bookmarkEnd w:id="1"/>
      <w:bookmarkStart w:id="0" w:name="OLE_LINK6"/>
      <w:r>
        <w:rPr>
          <w:rFonts w:hint="eastAsia" w:ascii="宋体" w:hAnsi="宋体"/>
          <w:b/>
          <w:color w:val="000000"/>
          <w:sz w:val="28"/>
          <w:szCs w:val="28"/>
        </w:rPr>
        <w:t>冷酸灵202</w:t>
      </w:r>
      <w:r>
        <w:rPr>
          <w:rFonts w:hint="default" w:ascii="宋体" w:hAnsi="宋体"/>
          <w:b/>
          <w:color w:val="000000"/>
          <w:sz w:val="28"/>
          <w:szCs w:val="28"/>
        </w:rPr>
        <w:t>2</w:t>
      </w:r>
      <w:r>
        <w:rPr>
          <w:rFonts w:hint="eastAsia" w:ascii="宋体" w:hAnsi="宋体"/>
          <w:b/>
          <w:color w:val="000000"/>
          <w:sz w:val="28"/>
          <w:szCs w:val="28"/>
        </w:rPr>
        <w:t>届“启明星计划”校园招聘简章</w:t>
      </w:r>
    </w:p>
    <w:p>
      <w:pPr>
        <w:jc w:val="left"/>
        <w:rPr>
          <w:rFonts w:asciiTheme="minorEastAsia" w:hAnsiTheme="minorEastAsia" w:eastAsiaTheme="minorEastAsia"/>
          <w:b/>
          <w:bCs/>
          <w:sz w:val="22"/>
        </w:rPr>
      </w:pPr>
      <w:r>
        <w:rPr>
          <w:rFonts w:hint="eastAsia" w:asciiTheme="minorEastAsia" w:hAnsiTheme="minorEastAsia" w:eastAsiaTheme="minorEastAsia"/>
          <w:b/>
          <w:bCs/>
          <w:sz w:val="22"/>
        </w:rPr>
        <w:t>一、企业简介</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重庆登康口腔护理用品股份有限公司(以下简称登康</w:t>
      </w:r>
      <w:r>
        <w:rPr>
          <w:rFonts w:hint="eastAsia" w:ascii="宋体" w:hAnsi="宋体"/>
          <w:color w:val="000000"/>
          <w:szCs w:val="21"/>
          <w:lang w:val="en-US" w:eastAsia="zh-Hans"/>
        </w:rPr>
        <w:t>口腔</w:t>
      </w:r>
      <w:r>
        <w:rPr>
          <w:rFonts w:hint="eastAsia" w:ascii="宋体" w:hAnsi="宋体"/>
          <w:color w:val="000000"/>
          <w:szCs w:val="21"/>
        </w:rPr>
        <w:t>)是中国极具影响力的专业口腔护理用品公司，其前身为大来化学制胰厂，始建于上世纪三十年代，于</w:t>
      </w:r>
      <w:r>
        <w:rPr>
          <w:rFonts w:ascii="宋体" w:hAnsi="宋体"/>
          <w:color w:val="000000"/>
          <w:szCs w:val="21"/>
        </w:rPr>
        <w:t>2001</w:t>
      </w:r>
      <w:r>
        <w:rPr>
          <w:rFonts w:hint="eastAsia" w:ascii="宋体" w:hAnsi="宋体"/>
          <w:color w:val="000000"/>
          <w:szCs w:val="21"/>
        </w:rPr>
        <w:t>年通过股份制改造成立，公司隶属于重庆轻纺控股(集团)公司，是重庆市属重点国有企业。</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8</w:t>
      </w:r>
      <w:r>
        <w:rPr>
          <w:rFonts w:hint="default" w:ascii="宋体" w:hAnsi="宋体"/>
          <w:color w:val="000000"/>
          <w:szCs w:val="21"/>
        </w:rPr>
        <w:t>3</w:t>
      </w:r>
      <w:r>
        <w:rPr>
          <w:rFonts w:hint="eastAsia" w:ascii="宋体" w:hAnsi="宋体"/>
          <w:color w:val="000000"/>
          <w:szCs w:val="21"/>
        </w:rPr>
        <w:t>年来，登康</w:t>
      </w:r>
      <w:r>
        <w:rPr>
          <w:rFonts w:hint="eastAsia" w:ascii="宋体" w:hAnsi="宋体"/>
          <w:color w:val="000000"/>
          <w:szCs w:val="21"/>
          <w:lang w:val="en-US" w:eastAsia="zh-Hans"/>
        </w:rPr>
        <w:t>口腔</w:t>
      </w:r>
      <w:r>
        <w:rPr>
          <w:rFonts w:hint="eastAsia" w:ascii="宋体" w:hAnsi="宋体"/>
          <w:color w:val="000000"/>
          <w:szCs w:val="21"/>
        </w:rPr>
        <w:t>致力于牙齿抗敏感领域的研究。目前公司拥有全国唯一的抗牙齿敏感研究中心，拥有行业领先的GMP生产车间，拥有双重抗敏感牙膏的国家发明专利和多项行业领先技术。公司现有的主要产品有“冷酸灵”系列牙膏、牙刷，“登康”三面牙刷及“冷酸灵”漱口水。“冷酸灵”牙膏自投放市场以来，已累计销量超过50亿支，在抗牙齿敏感领域拥有56.4%的市场份额，是中国抗牙齿敏感市场的绝对领导者，是中国13亿人民的“牙齿抗敏感专家”。</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重庆登康口腔健康科技有限公司（以下简称登康科技）成立于2020年，是重庆登康口腔护理用品股份有限公司（以下简称登康口腔）全资子公司，是专业从事口腔健康产品的销售服务公司。</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登康科技现有员工400余人，登康科技公司的主要业务内容为对外提供营销推广服务、口腔护理类产品销售服务等。</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登康科技始终以满足用户需求为导向，以品牌价值传递为引领，不断创新营销模式，通过全域全渠道品牌推广和销售覆盖，实现品牌精准触达、销售业务快速拓展。</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登康科技将继续致力于推动中国口腔护理行业及健康事业的长远发展，依托登康口腔雄厚的综合实力、现代化人才管理优势和先进的经营管理理念，积极投身中国口腔护理行业持续发展及创新变革，努力成为全国领先的口腔健康销售服务公司。</w:t>
      </w:r>
    </w:p>
    <w:p>
      <w:pPr>
        <w:numPr>
          <w:ilvl w:val="0"/>
          <w:numId w:val="1"/>
        </w:numPr>
        <w:rPr>
          <w:b/>
        </w:rPr>
      </w:pPr>
      <w:r>
        <w:rPr>
          <w:rFonts w:hint="eastAsia"/>
          <w:b/>
        </w:rPr>
        <w:t>项目介绍</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启明星计划</w:t>
      </w:r>
      <w:r>
        <w:rPr>
          <w:rFonts w:hint="eastAsia" w:ascii="宋体" w:hAnsi="宋体"/>
          <w:color w:val="000000"/>
          <w:szCs w:val="21"/>
          <w:lang w:val="en-US" w:eastAsia="zh-Hans"/>
        </w:rPr>
        <w:t>是</w:t>
      </w:r>
      <w:r>
        <w:rPr>
          <w:rFonts w:hint="eastAsia" w:ascii="宋体" w:hAnsi="宋体"/>
          <w:color w:val="000000"/>
          <w:szCs w:val="21"/>
        </w:rPr>
        <w:t>登康</w:t>
      </w:r>
      <w:r>
        <w:rPr>
          <w:rFonts w:hint="eastAsia" w:ascii="宋体" w:hAnsi="宋体"/>
          <w:color w:val="000000"/>
          <w:szCs w:val="21"/>
          <w:lang w:val="en-US" w:eastAsia="zh-Hans"/>
        </w:rPr>
        <w:t>口腔</w:t>
      </w:r>
      <w:r>
        <w:rPr>
          <w:rFonts w:hint="eastAsia" w:ascii="宋体" w:hAnsi="宋体"/>
          <w:color w:val="000000"/>
          <w:szCs w:val="21"/>
        </w:rPr>
        <w:t>2020年</w:t>
      </w:r>
      <w:r>
        <w:rPr>
          <w:rFonts w:hint="eastAsia" w:ascii="宋体" w:hAnsi="宋体"/>
          <w:color w:val="000000"/>
          <w:szCs w:val="21"/>
          <w:lang w:val="en-US" w:eastAsia="zh-Hans"/>
        </w:rPr>
        <w:t>起</w:t>
      </w:r>
      <w:r>
        <w:rPr>
          <w:rFonts w:hint="eastAsia" w:ascii="宋体" w:hAnsi="宋体"/>
          <w:color w:val="000000"/>
          <w:szCs w:val="21"/>
        </w:rPr>
        <w:t>专门为登康销售体系设计打造的储备销售管理人才项目，旨在为</w:t>
      </w:r>
      <w:r>
        <w:rPr>
          <w:rFonts w:hint="eastAsia" w:ascii="宋体" w:hAnsi="宋体"/>
          <w:color w:val="000000"/>
          <w:szCs w:val="21"/>
          <w:lang w:val="en-US" w:eastAsia="zh-Hans"/>
        </w:rPr>
        <w:t>登康口腔</w:t>
      </w:r>
      <w:r>
        <w:rPr>
          <w:rFonts w:hint="eastAsia" w:ascii="宋体" w:hAnsi="宋体"/>
          <w:color w:val="000000"/>
          <w:szCs w:val="21"/>
        </w:rPr>
        <w:t>销售团队培养具有专业性和战斗力的梯队人才。我们将在全国各重点城市开展校园招聘，通过专业的甄选流程识别出热爱销售且具有销售潜质的优秀毕业生加入公司。该计划将沿用登康十余年总结的管培生培养辅导体系，聚焦培训资源，专注于日化行业销售领域，系统性地教授你全渠道销售管理知识，全面性地辅导你市场实战经验，训战结合深入发掘你的销售潜力。启明星们将通过不同岗位和渠道的轮训，在一年时间内成为省区中坚力量，独立管理渠道或客户，</w:t>
      </w:r>
      <w:r>
        <w:rPr>
          <w:rFonts w:hint="default" w:ascii="宋体" w:hAnsi="宋体"/>
          <w:color w:val="000000"/>
          <w:szCs w:val="21"/>
        </w:rPr>
        <w:t>2-3</w:t>
      </w:r>
      <w:r>
        <w:rPr>
          <w:rFonts w:hint="eastAsia" w:ascii="宋体" w:hAnsi="宋体"/>
          <w:color w:val="000000"/>
          <w:szCs w:val="21"/>
          <w:lang w:val="en-US" w:eastAsia="zh-Hans"/>
        </w:rPr>
        <w:t>年成为区域经理负责千万级生意</w:t>
      </w:r>
      <w:r>
        <w:rPr>
          <w:rFonts w:hint="default" w:ascii="宋体" w:hAnsi="宋体"/>
          <w:color w:val="000000"/>
          <w:szCs w:val="21"/>
          <w:lang w:eastAsia="zh-Hans"/>
        </w:rPr>
        <w:t>，</w:t>
      </w:r>
      <w:r>
        <w:rPr>
          <w:rFonts w:hint="eastAsia" w:ascii="宋体" w:hAnsi="宋体"/>
          <w:color w:val="000000"/>
          <w:szCs w:val="21"/>
        </w:rPr>
        <w:t>更有机会在未来</w:t>
      </w:r>
      <w:r>
        <w:rPr>
          <w:rFonts w:hint="default" w:ascii="宋体" w:hAnsi="宋体"/>
          <w:color w:val="000000"/>
          <w:szCs w:val="21"/>
        </w:rPr>
        <w:t>5</w:t>
      </w:r>
      <w:r>
        <w:rPr>
          <w:rFonts w:hint="eastAsia" w:ascii="宋体" w:hAnsi="宋体"/>
          <w:color w:val="000000"/>
          <w:szCs w:val="21"/>
        </w:rPr>
        <w:t>年</w:t>
      </w:r>
      <w:r>
        <w:rPr>
          <w:rFonts w:hint="eastAsia" w:ascii="宋体" w:hAnsi="宋体"/>
          <w:color w:val="000000"/>
          <w:szCs w:val="21"/>
          <w:lang w:val="en-US" w:eastAsia="zh-Hans"/>
        </w:rPr>
        <w:t>内</w:t>
      </w:r>
      <w:r>
        <w:rPr>
          <w:rFonts w:hint="eastAsia" w:ascii="宋体" w:hAnsi="宋体"/>
          <w:color w:val="000000"/>
          <w:szCs w:val="21"/>
        </w:rPr>
        <w:t>成为省区经理，独立管理省区生意。如果你是那个不凡的启明晨星，这里将有你的一片天地！~</w:t>
      </w:r>
    </w:p>
    <w:tbl>
      <w:tblPr>
        <w:tblStyle w:val="8"/>
        <w:tblpPr w:leftFromText="180" w:rightFromText="180" w:vertAnchor="text" w:horzAnchor="margin" w:tblpY="4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420" w:type="dxa"/>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类别</w:t>
            </w:r>
          </w:p>
        </w:tc>
        <w:tc>
          <w:tcPr>
            <w:tcW w:w="1420" w:type="dxa"/>
            <w:vAlign w:val="center"/>
          </w:tcPr>
          <w:p>
            <w:pPr>
              <w:widowControl/>
              <w:jc w:val="center"/>
              <w:textAlignment w:val="center"/>
              <w:rPr>
                <w:rFonts w:hint="eastAsia" w:ascii="宋体" w:hAnsi="宋体" w:cs="宋体"/>
                <w:b/>
                <w:color w:val="000000"/>
                <w:kern w:val="0"/>
                <w:sz w:val="22"/>
                <w:lang w:bidi="ar"/>
              </w:rPr>
            </w:pPr>
            <w:r>
              <w:rPr>
                <w:rFonts w:hint="eastAsia" w:ascii="宋体" w:hAnsi="宋体" w:cs="宋体"/>
                <w:b/>
                <w:color w:val="000000"/>
                <w:kern w:val="0"/>
                <w:sz w:val="22"/>
                <w:lang w:bidi="ar"/>
              </w:rPr>
              <w:t>岗位</w:t>
            </w:r>
          </w:p>
          <w:p>
            <w:pPr>
              <w:widowControl/>
              <w:jc w:val="center"/>
              <w:textAlignment w:val="center"/>
              <w:rPr>
                <w:rFonts w:hint="eastAsia" w:ascii="宋体" w:hAnsi="宋体" w:cs="宋体"/>
                <w:b/>
                <w:color w:val="000000"/>
                <w:kern w:val="0"/>
                <w:sz w:val="22"/>
                <w:lang w:bidi="ar"/>
              </w:rPr>
            </w:pPr>
            <w:r>
              <w:rPr>
                <w:rFonts w:hint="default" w:ascii="宋体" w:hAnsi="宋体" w:cs="宋体"/>
                <w:b/>
                <w:color w:val="000000"/>
                <w:kern w:val="0"/>
                <w:sz w:val="20"/>
                <w:szCs w:val="20"/>
                <w:lang w:bidi="ar"/>
              </w:rPr>
              <w:t>（</w:t>
            </w:r>
            <w:r>
              <w:rPr>
                <w:rFonts w:hint="eastAsia" w:ascii="宋体" w:hAnsi="宋体" w:cs="宋体"/>
                <w:b/>
                <w:color w:val="000000"/>
                <w:kern w:val="0"/>
                <w:sz w:val="20"/>
                <w:szCs w:val="20"/>
                <w:lang w:val="en-US" w:eastAsia="zh-Hans" w:bidi="ar"/>
              </w:rPr>
              <w:t>发展方向</w:t>
            </w:r>
            <w:r>
              <w:rPr>
                <w:rFonts w:hint="default" w:ascii="宋体" w:hAnsi="宋体" w:cs="宋体"/>
                <w:b/>
                <w:color w:val="000000"/>
                <w:kern w:val="0"/>
                <w:sz w:val="20"/>
                <w:szCs w:val="20"/>
                <w:lang w:eastAsia="zh-Hans" w:bidi="ar"/>
              </w:rPr>
              <w:t>）</w:t>
            </w:r>
          </w:p>
        </w:tc>
        <w:tc>
          <w:tcPr>
            <w:tcW w:w="1421" w:type="dxa"/>
            <w:vAlign w:val="center"/>
          </w:tcPr>
          <w:p>
            <w:pPr>
              <w:widowControl/>
              <w:jc w:val="center"/>
              <w:textAlignment w:val="center"/>
              <w:rPr>
                <w:rFonts w:ascii="宋体" w:hAnsi="宋体" w:cs="宋体"/>
                <w:color w:val="000000"/>
                <w:kern w:val="0"/>
                <w:sz w:val="22"/>
                <w:lang w:bidi="ar"/>
              </w:rPr>
            </w:pPr>
            <w:r>
              <w:rPr>
                <w:rFonts w:hint="eastAsia" w:ascii="宋体" w:hAnsi="宋体" w:cs="宋体"/>
                <w:b/>
                <w:color w:val="000000"/>
                <w:kern w:val="0"/>
                <w:sz w:val="22"/>
                <w:lang w:bidi="ar"/>
              </w:rPr>
              <w:t>需求</w:t>
            </w:r>
          </w:p>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人数</w:t>
            </w:r>
          </w:p>
        </w:tc>
        <w:tc>
          <w:tcPr>
            <w:tcW w:w="1420" w:type="dxa"/>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学历</w:t>
            </w:r>
          </w:p>
        </w:tc>
        <w:tc>
          <w:tcPr>
            <w:tcW w:w="1420" w:type="dxa"/>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专业</w:t>
            </w:r>
          </w:p>
        </w:tc>
        <w:tc>
          <w:tcPr>
            <w:tcW w:w="1421" w:type="dxa"/>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20" w:type="dxa"/>
            <w:vMerge w:val="restart"/>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val="en-US" w:eastAsia="zh-Hans" w:bidi="ar"/>
              </w:rPr>
              <w:t>销售</w:t>
            </w:r>
            <w:r>
              <w:rPr>
                <w:rFonts w:hint="eastAsia" w:ascii="宋体" w:hAnsi="宋体" w:cs="宋体"/>
                <w:color w:val="000000"/>
                <w:kern w:val="0"/>
                <w:sz w:val="22"/>
                <w:lang w:bidi="ar"/>
              </w:rPr>
              <w:t>类</w:t>
            </w:r>
          </w:p>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管培生</w:t>
            </w:r>
          </w:p>
        </w:tc>
        <w:tc>
          <w:tcPr>
            <w:tcW w:w="1420" w:type="dxa"/>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val="en-US" w:eastAsia="zh-Hans" w:bidi="ar"/>
              </w:rPr>
              <w:t>渠道</w:t>
            </w:r>
            <w:r>
              <w:rPr>
                <w:rFonts w:hint="eastAsia" w:ascii="宋体" w:hAnsi="宋体" w:cs="宋体"/>
                <w:color w:val="000000"/>
                <w:kern w:val="0"/>
                <w:sz w:val="22"/>
                <w:lang w:bidi="ar"/>
              </w:rPr>
              <w:t>管培</w:t>
            </w:r>
            <w:r>
              <w:rPr>
                <w:rFonts w:hint="eastAsia" w:ascii="宋体" w:hAnsi="宋体" w:cs="宋体"/>
                <w:color w:val="000000"/>
                <w:kern w:val="0"/>
                <w:sz w:val="22"/>
                <w:lang w:val="en-US" w:eastAsia="zh-Hans" w:bidi="ar"/>
              </w:rPr>
              <w:t>岗</w:t>
            </w:r>
          </w:p>
        </w:tc>
        <w:tc>
          <w:tcPr>
            <w:tcW w:w="1421" w:type="dxa"/>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10</w:t>
            </w:r>
          </w:p>
        </w:tc>
        <w:tc>
          <w:tcPr>
            <w:tcW w:w="1420" w:type="dxa"/>
            <w:vMerge w:val="restart"/>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本科及以上</w:t>
            </w:r>
          </w:p>
        </w:tc>
        <w:tc>
          <w:tcPr>
            <w:tcW w:w="1420" w:type="dxa"/>
            <w:vMerge w:val="restart"/>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专业不限，市场营销</w:t>
            </w:r>
            <w:r>
              <w:rPr>
                <w:rFonts w:hint="default" w:ascii="宋体" w:hAnsi="宋体" w:cs="宋体"/>
                <w:color w:val="000000"/>
                <w:kern w:val="0"/>
                <w:sz w:val="22"/>
                <w:lang w:bidi="ar"/>
              </w:rPr>
              <w:t>、</w:t>
            </w:r>
            <w:r>
              <w:rPr>
                <w:rFonts w:hint="eastAsia" w:ascii="宋体" w:hAnsi="宋体" w:cs="宋体"/>
                <w:color w:val="000000"/>
                <w:kern w:val="0"/>
                <w:sz w:val="22"/>
                <w:lang w:val="en-US" w:eastAsia="zh-Hans" w:bidi="ar"/>
              </w:rPr>
              <w:t>电子商务</w:t>
            </w:r>
            <w:r>
              <w:rPr>
                <w:rFonts w:hint="default" w:ascii="宋体" w:hAnsi="宋体" w:cs="宋体"/>
                <w:color w:val="000000"/>
                <w:kern w:val="0"/>
                <w:sz w:val="22"/>
                <w:lang w:eastAsia="zh-Hans" w:bidi="ar"/>
              </w:rPr>
              <w:t>、</w:t>
            </w:r>
            <w:r>
              <w:rPr>
                <w:rFonts w:hint="eastAsia" w:ascii="宋体" w:hAnsi="宋体" w:cs="宋体"/>
                <w:color w:val="000000"/>
                <w:kern w:val="0"/>
                <w:sz w:val="22"/>
                <w:lang w:val="en-US" w:eastAsia="zh-Hans" w:bidi="ar"/>
              </w:rPr>
              <w:t>工商管理等专业尤佳</w:t>
            </w:r>
          </w:p>
        </w:tc>
        <w:tc>
          <w:tcPr>
            <w:tcW w:w="1421" w:type="dxa"/>
            <w:vMerge w:val="restart"/>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全国，根据所在招聘的城市</w:t>
            </w:r>
            <w:r>
              <w:rPr>
                <w:rFonts w:hint="default" w:ascii="宋体" w:hAnsi="宋体" w:cs="宋体"/>
                <w:color w:val="000000"/>
                <w:kern w:val="0"/>
                <w:sz w:val="22"/>
                <w:lang w:bidi="ar"/>
              </w:rPr>
              <w:t>/</w:t>
            </w:r>
            <w:r>
              <w:rPr>
                <w:rFonts w:hint="eastAsia" w:ascii="宋体" w:hAnsi="宋体" w:cs="宋体"/>
                <w:color w:val="000000"/>
                <w:kern w:val="0"/>
                <w:sz w:val="22"/>
                <w:lang w:val="en-US" w:eastAsia="zh-Hans" w:bidi="ar"/>
              </w:rPr>
              <w:t>员工户籍地</w:t>
            </w:r>
            <w:r>
              <w:rPr>
                <w:rFonts w:hint="eastAsia" w:ascii="宋体" w:hAnsi="宋体" w:cs="宋体"/>
                <w:color w:val="000000"/>
                <w:kern w:val="0"/>
                <w:sz w:val="22"/>
                <w:lang w:bidi="ar"/>
              </w:rPr>
              <w:t>定岗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20" w:type="dxa"/>
            <w:vMerge w:val="continue"/>
            <w:vAlign w:val="center"/>
          </w:tcPr>
          <w:p>
            <w:pPr>
              <w:widowControl/>
              <w:jc w:val="center"/>
              <w:textAlignment w:val="center"/>
              <w:rPr>
                <w:rFonts w:hint="eastAsia" w:ascii="宋体" w:hAnsi="宋体" w:cs="宋体"/>
                <w:color w:val="000000"/>
                <w:kern w:val="0"/>
                <w:sz w:val="22"/>
                <w:lang w:bidi="ar"/>
              </w:rPr>
            </w:pPr>
          </w:p>
        </w:tc>
        <w:tc>
          <w:tcPr>
            <w:tcW w:w="1420" w:type="dxa"/>
            <w:vAlign w:val="center"/>
          </w:tcPr>
          <w:p>
            <w:pPr>
              <w:widowControl/>
              <w:jc w:val="center"/>
              <w:textAlignment w:val="center"/>
              <w:rPr>
                <w:rFonts w:hint="eastAsia" w:ascii="宋体" w:hAnsi="宋体" w:eastAsia="宋体" w:cs="宋体"/>
                <w:color w:val="000000"/>
                <w:kern w:val="0"/>
                <w:sz w:val="22"/>
                <w:lang w:val="en-US" w:eastAsia="zh-Hans" w:bidi="ar"/>
              </w:rPr>
            </w:pPr>
            <w:r>
              <w:rPr>
                <w:rFonts w:hint="eastAsia" w:ascii="宋体" w:hAnsi="宋体" w:cs="宋体"/>
                <w:color w:val="000000"/>
                <w:kern w:val="0"/>
                <w:sz w:val="22"/>
                <w:lang w:val="en-US" w:eastAsia="zh-Hans" w:bidi="ar"/>
              </w:rPr>
              <w:t>行销管培岗</w:t>
            </w:r>
          </w:p>
        </w:tc>
        <w:tc>
          <w:tcPr>
            <w:tcW w:w="1421" w:type="dxa"/>
            <w:vAlign w:val="center"/>
          </w:tcPr>
          <w:p>
            <w:pPr>
              <w:widowControl/>
              <w:jc w:val="center"/>
              <w:textAlignment w:val="center"/>
              <w:rPr>
                <w:rFonts w:hint="eastAsia" w:ascii="宋体" w:hAnsi="宋体" w:cs="宋体"/>
                <w:color w:val="000000"/>
                <w:kern w:val="0"/>
                <w:sz w:val="22"/>
                <w:lang w:bidi="ar"/>
              </w:rPr>
            </w:pPr>
            <w:r>
              <w:rPr>
                <w:rFonts w:hint="default" w:ascii="宋体" w:hAnsi="宋体" w:cs="宋体"/>
                <w:color w:val="000000"/>
                <w:kern w:val="0"/>
                <w:sz w:val="22"/>
                <w:lang w:bidi="ar"/>
              </w:rPr>
              <w:t>5</w:t>
            </w:r>
          </w:p>
        </w:tc>
        <w:tc>
          <w:tcPr>
            <w:tcW w:w="1420" w:type="dxa"/>
            <w:vMerge w:val="continue"/>
            <w:vAlign w:val="center"/>
          </w:tcPr>
          <w:p>
            <w:pPr>
              <w:widowControl/>
              <w:jc w:val="center"/>
              <w:textAlignment w:val="center"/>
              <w:rPr>
                <w:rFonts w:hint="eastAsia" w:ascii="宋体" w:hAnsi="宋体" w:cs="宋体"/>
                <w:color w:val="000000"/>
                <w:kern w:val="0"/>
                <w:sz w:val="22"/>
                <w:lang w:bidi="ar"/>
              </w:rPr>
            </w:pPr>
          </w:p>
        </w:tc>
        <w:tc>
          <w:tcPr>
            <w:tcW w:w="1420" w:type="dxa"/>
            <w:vMerge w:val="continue"/>
            <w:vAlign w:val="center"/>
          </w:tcPr>
          <w:p>
            <w:pPr>
              <w:widowControl/>
              <w:jc w:val="center"/>
              <w:textAlignment w:val="center"/>
              <w:rPr>
                <w:rFonts w:hint="eastAsia" w:ascii="宋体" w:hAnsi="宋体" w:cs="宋体"/>
                <w:color w:val="000000"/>
                <w:kern w:val="0"/>
                <w:sz w:val="22"/>
                <w:lang w:bidi="ar"/>
              </w:rPr>
            </w:pPr>
          </w:p>
        </w:tc>
        <w:tc>
          <w:tcPr>
            <w:tcW w:w="1421" w:type="dxa"/>
            <w:vMerge w:val="continue"/>
            <w:vAlign w:val="center"/>
          </w:tcPr>
          <w:p>
            <w:pPr>
              <w:widowControl/>
              <w:jc w:val="center"/>
              <w:textAlignment w:val="center"/>
              <w:rPr>
                <w:rFonts w:hint="eastAsia"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20" w:type="dxa"/>
            <w:vMerge w:val="continue"/>
            <w:vAlign w:val="center"/>
          </w:tcPr>
          <w:p>
            <w:pPr>
              <w:widowControl/>
              <w:jc w:val="center"/>
              <w:textAlignment w:val="center"/>
              <w:rPr>
                <w:rFonts w:hint="eastAsia" w:ascii="宋体" w:hAnsi="宋体" w:cs="宋体"/>
                <w:color w:val="000000"/>
                <w:kern w:val="0"/>
                <w:sz w:val="22"/>
                <w:lang w:bidi="ar"/>
              </w:rPr>
            </w:pPr>
          </w:p>
        </w:tc>
        <w:tc>
          <w:tcPr>
            <w:tcW w:w="1420" w:type="dxa"/>
            <w:vAlign w:val="center"/>
          </w:tcPr>
          <w:p>
            <w:pPr>
              <w:widowControl/>
              <w:jc w:val="center"/>
              <w:textAlignment w:val="center"/>
              <w:rPr>
                <w:rFonts w:hint="eastAsia" w:ascii="宋体" w:hAnsi="宋体" w:eastAsia="宋体" w:cs="宋体"/>
                <w:color w:val="000000"/>
                <w:kern w:val="0"/>
                <w:sz w:val="22"/>
                <w:lang w:val="en-US" w:eastAsia="zh-Hans" w:bidi="ar"/>
              </w:rPr>
            </w:pPr>
            <w:r>
              <w:rPr>
                <w:rFonts w:hint="eastAsia" w:ascii="宋体" w:hAnsi="宋体" w:cs="宋体"/>
                <w:color w:val="000000"/>
                <w:kern w:val="0"/>
                <w:sz w:val="22"/>
                <w:lang w:val="en-US" w:eastAsia="zh-Hans" w:bidi="ar"/>
              </w:rPr>
              <w:t>督导管培岗</w:t>
            </w:r>
          </w:p>
        </w:tc>
        <w:tc>
          <w:tcPr>
            <w:tcW w:w="1421" w:type="dxa"/>
            <w:vAlign w:val="center"/>
          </w:tcPr>
          <w:p>
            <w:pPr>
              <w:widowControl/>
              <w:jc w:val="center"/>
              <w:textAlignment w:val="center"/>
              <w:rPr>
                <w:rFonts w:hint="eastAsia" w:ascii="宋体" w:hAnsi="宋体" w:cs="宋体"/>
                <w:color w:val="000000"/>
                <w:kern w:val="0"/>
                <w:sz w:val="22"/>
                <w:lang w:bidi="ar"/>
              </w:rPr>
            </w:pPr>
            <w:r>
              <w:rPr>
                <w:rFonts w:hint="default" w:ascii="宋体" w:hAnsi="宋体" w:cs="宋体"/>
                <w:color w:val="000000"/>
                <w:kern w:val="0"/>
                <w:sz w:val="22"/>
                <w:lang w:bidi="ar"/>
              </w:rPr>
              <w:t>5</w:t>
            </w:r>
          </w:p>
        </w:tc>
        <w:tc>
          <w:tcPr>
            <w:tcW w:w="1420" w:type="dxa"/>
            <w:vMerge w:val="continue"/>
            <w:vAlign w:val="center"/>
          </w:tcPr>
          <w:p>
            <w:pPr>
              <w:widowControl/>
              <w:jc w:val="center"/>
              <w:textAlignment w:val="center"/>
              <w:rPr>
                <w:rFonts w:hint="eastAsia" w:ascii="宋体" w:hAnsi="宋体" w:cs="宋体"/>
                <w:color w:val="000000"/>
                <w:kern w:val="0"/>
                <w:sz w:val="22"/>
                <w:lang w:bidi="ar"/>
              </w:rPr>
            </w:pPr>
          </w:p>
        </w:tc>
        <w:tc>
          <w:tcPr>
            <w:tcW w:w="1420" w:type="dxa"/>
            <w:vMerge w:val="continue"/>
            <w:vAlign w:val="center"/>
          </w:tcPr>
          <w:p>
            <w:pPr>
              <w:widowControl/>
              <w:jc w:val="center"/>
              <w:textAlignment w:val="center"/>
              <w:rPr>
                <w:rFonts w:hint="eastAsia" w:ascii="宋体" w:hAnsi="宋体" w:cs="宋体"/>
                <w:color w:val="000000"/>
                <w:kern w:val="0"/>
                <w:sz w:val="22"/>
                <w:lang w:bidi="ar"/>
              </w:rPr>
            </w:pPr>
          </w:p>
        </w:tc>
        <w:tc>
          <w:tcPr>
            <w:tcW w:w="1421" w:type="dxa"/>
            <w:vMerge w:val="continue"/>
            <w:vAlign w:val="center"/>
          </w:tcPr>
          <w:p>
            <w:pPr>
              <w:widowControl/>
              <w:jc w:val="center"/>
              <w:textAlignment w:val="center"/>
              <w:rPr>
                <w:rFonts w:hint="eastAsia" w:ascii="宋体" w:hAnsi="宋体" w:cs="宋体"/>
                <w:color w:val="000000"/>
                <w:kern w:val="0"/>
                <w:sz w:val="22"/>
                <w:lang w:bidi="ar"/>
              </w:rPr>
            </w:pPr>
          </w:p>
        </w:tc>
      </w:tr>
    </w:tbl>
    <w:p>
      <w:pPr>
        <w:numPr>
          <w:ilvl w:val="0"/>
          <w:numId w:val="1"/>
        </w:numPr>
        <w:rPr>
          <w:b/>
        </w:rPr>
      </w:pPr>
      <w:r>
        <w:rPr>
          <w:rFonts w:hint="eastAsia"/>
          <w:b/>
        </w:rPr>
        <w:t>招聘需求</w:t>
      </w:r>
    </w:p>
    <w:p>
      <w:pPr>
        <w:rPr>
          <w:b/>
        </w:rPr>
      </w:pPr>
    </w:p>
    <w:p>
      <w:pPr>
        <w:numPr>
          <w:ilvl w:val="0"/>
          <w:numId w:val="1"/>
        </w:numPr>
        <w:rPr>
          <w:b/>
        </w:rPr>
      </w:pPr>
      <w:r>
        <w:rPr>
          <w:rFonts w:hint="eastAsia"/>
          <w:b/>
        </w:rPr>
        <w:t>招聘要求</w:t>
      </w:r>
    </w:p>
    <w:p>
      <w:pPr>
        <w:spacing w:line="360" w:lineRule="auto"/>
        <w:rPr>
          <w:rFonts w:hint="eastAsia" w:ascii="宋体" w:hAnsi="宋体"/>
          <w:color w:val="000000"/>
          <w:szCs w:val="21"/>
        </w:rPr>
      </w:pPr>
      <w:r>
        <w:rPr>
          <w:rFonts w:hint="eastAsia" w:ascii="宋体" w:hAnsi="宋体"/>
          <w:color w:val="000000"/>
          <w:szCs w:val="21"/>
        </w:rPr>
        <w:t>1、202</w:t>
      </w:r>
      <w:r>
        <w:rPr>
          <w:rFonts w:hint="default" w:ascii="宋体" w:hAnsi="宋体"/>
          <w:color w:val="000000"/>
          <w:szCs w:val="21"/>
        </w:rPr>
        <w:t>1</w:t>
      </w:r>
      <w:r>
        <w:rPr>
          <w:rFonts w:hint="eastAsia" w:ascii="宋体" w:hAnsi="宋体"/>
          <w:color w:val="000000"/>
          <w:szCs w:val="21"/>
          <w:lang w:val="en-US" w:eastAsia="zh-Hans"/>
        </w:rPr>
        <w:t>年</w:t>
      </w:r>
      <w:r>
        <w:rPr>
          <w:rFonts w:hint="default" w:ascii="宋体" w:hAnsi="宋体"/>
          <w:color w:val="000000"/>
          <w:szCs w:val="21"/>
          <w:lang w:eastAsia="zh-Hans"/>
        </w:rPr>
        <w:t>7</w:t>
      </w:r>
      <w:r>
        <w:rPr>
          <w:rFonts w:hint="eastAsia" w:ascii="宋体" w:hAnsi="宋体"/>
          <w:color w:val="000000"/>
          <w:szCs w:val="21"/>
          <w:lang w:val="en-US" w:eastAsia="zh-Hans"/>
        </w:rPr>
        <w:t>月或</w:t>
      </w:r>
      <w:r>
        <w:rPr>
          <w:rFonts w:hint="default" w:ascii="宋体" w:hAnsi="宋体"/>
          <w:color w:val="000000"/>
          <w:szCs w:val="21"/>
          <w:lang w:eastAsia="zh-Hans"/>
        </w:rPr>
        <w:t>2022</w:t>
      </w:r>
      <w:r>
        <w:rPr>
          <w:rFonts w:hint="eastAsia" w:ascii="宋体" w:hAnsi="宋体"/>
          <w:color w:val="000000"/>
          <w:szCs w:val="21"/>
          <w:lang w:val="en-US" w:eastAsia="zh-Hans"/>
        </w:rPr>
        <w:t>年</w:t>
      </w:r>
      <w:r>
        <w:rPr>
          <w:rFonts w:hint="default" w:ascii="宋体" w:hAnsi="宋体"/>
          <w:color w:val="000000"/>
          <w:szCs w:val="21"/>
          <w:lang w:eastAsia="zh-Hans"/>
        </w:rPr>
        <w:t>7</w:t>
      </w:r>
      <w:r>
        <w:rPr>
          <w:rFonts w:hint="eastAsia" w:ascii="宋体" w:hAnsi="宋体"/>
          <w:color w:val="000000"/>
          <w:szCs w:val="21"/>
          <w:lang w:val="en-US" w:eastAsia="zh-Hans"/>
        </w:rPr>
        <w:t>月毕业的本科</w:t>
      </w:r>
      <w:r>
        <w:rPr>
          <w:rFonts w:ascii="宋体" w:hAnsi="宋体"/>
          <w:color w:val="000000"/>
          <w:szCs w:val="21"/>
        </w:rPr>
        <w:t>毕业生</w:t>
      </w:r>
      <w:r>
        <w:rPr>
          <w:rFonts w:hint="eastAsia" w:ascii="宋体" w:hAnsi="宋体"/>
          <w:color w:val="000000"/>
          <w:szCs w:val="21"/>
        </w:rPr>
        <w:t>；</w:t>
      </w:r>
    </w:p>
    <w:p>
      <w:pPr>
        <w:spacing w:line="360" w:lineRule="auto"/>
        <w:rPr>
          <w:rFonts w:hint="eastAsia" w:ascii="宋体" w:hAnsi="宋体"/>
          <w:color w:val="000000"/>
          <w:szCs w:val="21"/>
        </w:rPr>
      </w:pPr>
      <w:r>
        <w:rPr>
          <w:rFonts w:hint="default" w:ascii="宋体" w:hAnsi="宋体"/>
          <w:color w:val="000000"/>
          <w:szCs w:val="21"/>
        </w:rPr>
        <w:t>2、</w:t>
      </w:r>
      <w:r>
        <w:rPr>
          <w:rFonts w:hint="eastAsia" w:ascii="宋体" w:hAnsi="宋体"/>
          <w:color w:val="000000"/>
          <w:szCs w:val="21"/>
        </w:rPr>
        <w:t>学习能力</w:t>
      </w:r>
      <w:r>
        <w:rPr>
          <w:rFonts w:hint="eastAsia" w:ascii="宋体" w:hAnsi="宋体"/>
          <w:color w:val="000000"/>
          <w:szCs w:val="21"/>
          <w:lang w:val="en-US" w:eastAsia="zh-Hans"/>
        </w:rPr>
        <w:t>和组织能力强</w:t>
      </w:r>
      <w:r>
        <w:rPr>
          <w:rFonts w:hint="default" w:ascii="宋体" w:hAnsi="宋体"/>
          <w:color w:val="000000"/>
          <w:szCs w:val="21"/>
          <w:lang w:eastAsia="zh-Hans"/>
        </w:rPr>
        <w:t>，</w:t>
      </w:r>
      <w:r>
        <w:rPr>
          <w:rFonts w:hint="eastAsia" w:ascii="宋体" w:hAnsi="宋体"/>
          <w:color w:val="000000"/>
          <w:szCs w:val="21"/>
          <w:lang w:val="en-US" w:eastAsia="zh-Hans"/>
        </w:rPr>
        <w:t>在校内有职务担当</w:t>
      </w:r>
      <w:r>
        <w:rPr>
          <w:rFonts w:hint="default" w:ascii="宋体" w:hAnsi="宋体"/>
          <w:color w:val="000000"/>
          <w:szCs w:val="21"/>
          <w:lang w:eastAsia="zh-Hans"/>
        </w:rPr>
        <w:t>，</w:t>
      </w:r>
      <w:r>
        <w:rPr>
          <w:rFonts w:hint="eastAsia" w:ascii="宋体" w:hAnsi="宋体"/>
          <w:color w:val="000000"/>
          <w:szCs w:val="21"/>
        </w:rPr>
        <w:t>有</w:t>
      </w:r>
      <w:r>
        <w:rPr>
          <w:rFonts w:hint="eastAsia" w:ascii="宋体" w:hAnsi="宋体"/>
          <w:color w:val="000000"/>
          <w:szCs w:val="21"/>
          <w:lang w:val="en-US" w:eastAsia="zh-Hans"/>
        </w:rPr>
        <w:t>较为丰富的校内</w:t>
      </w:r>
      <w:r>
        <w:rPr>
          <w:rFonts w:hint="default" w:ascii="宋体" w:hAnsi="宋体"/>
          <w:color w:val="000000"/>
          <w:szCs w:val="21"/>
          <w:lang w:eastAsia="zh-Hans"/>
        </w:rPr>
        <w:t>/</w:t>
      </w:r>
      <w:r>
        <w:rPr>
          <w:rFonts w:hint="eastAsia" w:ascii="宋体" w:hAnsi="宋体"/>
          <w:color w:val="000000"/>
          <w:szCs w:val="21"/>
          <w:lang w:val="en-US" w:eastAsia="zh-Hans"/>
        </w:rPr>
        <w:t>外社会</w:t>
      </w:r>
      <w:r>
        <w:rPr>
          <w:rFonts w:hint="eastAsia" w:ascii="宋体" w:hAnsi="宋体"/>
          <w:color w:val="000000"/>
          <w:szCs w:val="21"/>
        </w:rPr>
        <w:t>实践经验者</w:t>
      </w:r>
      <w:r>
        <w:rPr>
          <w:rFonts w:hint="eastAsia" w:ascii="宋体" w:hAnsi="宋体"/>
          <w:color w:val="000000"/>
          <w:szCs w:val="21"/>
          <w:lang w:val="en-US" w:eastAsia="zh-Hans"/>
        </w:rPr>
        <w:t>尤佳</w:t>
      </w:r>
      <w:r>
        <w:rPr>
          <w:rFonts w:hint="default" w:ascii="宋体" w:hAnsi="宋体"/>
          <w:color w:val="000000"/>
          <w:szCs w:val="21"/>
        </w:rPr>
        <w:t>；</w:t>
      </w:r>
    </w:p>
    <w:p>
      <w:pPr>
        <w:spacing w:line="360" w:lineRule="auto"/>
        <w:rPr>
          <w:rFonts w:ascii="宋体" w:hAnsi="宋体"/>
          <w:color w:val="000000"/>
          <w:szCs w:val="21"/>
        </w:rPr>
      </w:pPr>
      <w:r>
        <w:rPr>
          <w:rFonts w:hint="default" w:ascii="宋体" w:hAnsi="宋体"/>
          <w:color w:val="000000"/>
          <w:szCs w:val="21"/>
        </w:rPr>
        <w:t>3</w:t>
      </w:r>
      <w:r>
        <w:rPr>
          <w:rFonts w:hint="eastAsia" w:ascii="宋体" w:hAnsi="宋体"/>
          <w:color w:val="000000"/>
          <w:szCs w:val="21"/>
        </w:rPr>
        <w:t>、较强的进取心及责任感，同时具备吃苦耐劳的精神；</w:t>
      </w:r>
    </w:p>
    <w:p>
      <w:pPr>
        <w:spacing w:line="360" w:lineRule="auto"/>
        <w:rPr>
          <w:rFonts w:ascii="宋体" w:hAnsi="宋体"/>
          <w:color w:val="000000"/>
          <w:szCs w:val="21"/>
        </w:rPr>
      </w:pPr>
      <w:r>
        <w:rPr>
          <w:rFonts w:hint="default" w:ascii="宋体" w:hAnsi="宋体"/>
          <w:color w:val="000000"/>
          <w:szCs w:val="21"/>
        </w:rPr>
        <w:t>4</w:t>
      </w:r>
      <w:r>
        <w:rPr>
          <w:rFonts w:hint="eastAsia" w:ascii="宋体" w:hAnsi="宋体"/>
          <w:color w:val="000000"/>
          <w:szCs w:val="21"/>
        </w:rPr>
        <w:t>、具备良好的沟通、团队合作能力、领导力和解决问题的能力和创新的意识；</w:t>
      </w:r>
    </w:p>
    <w:p>
      <w:pPr>
        <w:spacing w:line="360" w:lineRule="auto"/>
        <w:rPr>
          <w:rFonts w:ascii="宋体" w:hAnsi="宋体"/>
          <w:color w:val="000000"/>
          <w:szCs w:val="21"/>
        </w:rPr>
      </w:pPr>
      <w:r>
        <w:rPr>
          <w:rFonts w:hint="default" w:ascii="宋体" w:hAnsi="宋体"/>
          <w:color w:val="000000"/>
          <w:szCs w:val="21"/>
        </w:rPr>
        <w:t>5</w:t>
      </w:r>
      <w:r>
        <w:rPr>
          <w:rFonts w:hint="eastAsia" w:ascii="宋体" w:hAnsi="宋体"/>
          <w:color w:val="000000"/>
          <w:szCs w:val="21"/>
        </w:rPr>
        <w:t>、成绩在院校中处于中上水平，党员、学生干部及三好学生</w:t>
      </w:r>
      <w:r>
        <w:rPr>
          <w:rFonts w:hint="eastAsia" w:ascii="宋体" w:hAnsi="宋体"/>
          <w:color w:val="000000"/>
          <w:szCs w:val="21"/>
          <w:lang w:val="en-US" w:eastAsia="zh-Hans"/>
        </w:rPr>
        <w:t>尤佳</w:t>
      </w:r>
      <w:r>
        <w:rPr>
          <w:rFonts w:hint="eastAsia" w:ascii="宋体" w:hAnsi="宋体"/>
          <w:color w:val="000000"/>
          <w:szCs w:val="21"/>
        </w:rPr>
        <w:t>；</w:t>
      </w:r>
    </w:p>
    <w:p>
      <w:pPr>
        <w:numPr>
          <w:ilvl w:val="0"/>
          <w:numId w:val="1"/>
        </w:numPr>
        <w:rPr>
          <w:b/>
        </w:rPr>
      </w:pPr>
      <w:r>
        <w:rPr>
          <w:rFonts w:hint="eastAsia"/>
          <w:b/>
        </w:rPr>
        <w:t>薪资福利</w:t>
      </w:r>
    </w:p>
    <w:p>
      <w:pPr>
        <w:spacing w:line="440" w:lineRule="exact"/>
      </w:pPr>
      <w:r>
        <w:rPr>
          <w:rFonts w:hint="eastAsia"/>
        </w:rPr>
        <w:t>1、薪酬：提供具有行业竞争力的薪酬，</w:t>
      </w:r>
      <w:r>
        <w:rPr>
          <w:rFonts w:hint="eastAsia"/>
          <w:lang w:val="en-US" w:eastAsia="zh-Hans"/>
        </w:rPr>
        <w:t>毕业后</w:t>
      </w:r>
      <w:r>
        <w:rPr>
          <w:rFonts w:hint="eastAsia"/>
        </w:rPr>
        <w:t>购买</w:t>
      </w:r>
      <w:r>
        <w:rPr>
          <w:rFonts w:hint="eastAsia"/>
          <w:lang w:val="en-US" w:eastAsia="zh-Hans"/>
        </w:rPr>
        <w:t>五险一金</w:t>
      </w:r>
      <w:r>
        <w:rPr>
          <w:rFonts w:hint="eastAsia"/>
        </w:rPr>
        <w:t>。</w:t>
      </w:r>
    </w:p>
    <w:p>
      <w:pPr>
        <w:spacing w:line="440" w:lineRule="exact"/>
      </w:pPr>
      <w:r>
        <w:rPr>
          <w:rFonts w:hint="eastAsia"/>
        </w:rPr>
        <w:t>2、假期：法定节假日、年休假、婚假、产假、丧假等带薪假期。</w:t>
      </w:r>
    </w:p>
    <w:p>
      <w:pPr>
        <w:spacing w:line="440" w:lineRule="exact"/>
      </w:pPr>
      <w:r>
        <w:rPr>
          <w:rFonts w:hint="eastAsia"/>
        </w:rPr>
        <w:t>3、生活类：</w:t>
      </w:r>
      <w:r>
        <w:rPr>
          <w:rFonts w:hint="eastAsia"/>
          <w:lang w:val="en-US" w:eastAsia="zh-Hans"/>
        </w:rPr>
        <w:t>租房补贴</w:t>
      </w:r>
      <w:r>
        <w:rPr>
          <w:rFonts w:hint="default"/>
          <w:lang w:eastAsia="zh-Hans"/>
        </w:rPr>
        <w:t>、</w:t>
      </w:r>
      <w:r>
        <w:rPr>
          <w:rFonts w:hint="eastAsia"/>
        </w:rPr>
        <w:t>交通补贴，通讯补贴，清凉饮料、高温补贴、节日慰问等。</w:t>
      </w:r>
    </w:p>
    <w:p>
      <w:pPr>
        <w:spacing w:line="440" w:lineRule="exact"/>
      </w:pPr>
      <w:r>
        <w:rPr>
          <w:rFonts w:hint="eastAsia"/>
        </w:rPr>
        <w:t>4、文化类：定期开展丰富多彩的团建活动，团队旅游等。</w:t>
      </w:r>
    </w:p>
    <w:p>
      <w:pPr>
        <w:spacing w:line="440" w:lineRule="exact"/>
        <w:rPr>
          <w:rFonts w:hint="eastAsia"/>
        </w:rPr>
      </w:pPr>
      <w:r>
        <w:rPr>
          <w:rFonts w:hint="eastAsia"/>
        </w:rPr>
        <w:t>5、职业发展类：完善的管培生培养机制、导师辅导、职业发展通道等。</w:t>
      </w:r>
      <w:bookmarkEnd w:id="0"/>
    </w:p>
    <w:p>
      <w:pPr>
        <w:spacing w:line="440" w:lineRule="exact"/>
        <w:rPr>
          <w:rFonts w:hint="eastAsia"/>
        </w:rPr>
      </w:pPr>
    </w:p>
    <w:p>
      <w:pPr>
        <w:numPr>
          <w:ilvl w:val="0"/>
          <w:numId w:val="1"/>
        </w:numPr>
        <w:rPr>
          <w:b/>
        </w:rPr>
      </w:pPr>
      <w:r>
        <w:rPr>
          <w:rFonts w:hint="eastAsia"/>
          <w:b/>
          <w:lang w:val="en-US" w:eastAsia="zh-Hans"/>
        </w:rPr>
        <w:t>投递方式</w:t>
      </w:r>
    </w:p>
    <w:p>
      <w:pPr>
        <w:numPr>
          <w:ilvl w:val="0"/>
          <w:numId w:val="2"/>
        </w:numPr>
        <w:spacing w:line="440" w:lineRule="exact"/>
        <w:ind w:left="420" w:leftChars="0" w:hanging="420" w:firstLineChars="0"/>
      </w:pPr>
      <w:r>
        <w:rPr>
          <w:rFonts w:hint="eastAsia"/>
          <w:lang w:val="en-US" w:eastAsia="zh-Hans"/>
        </w:rPr>
        <w:t>宣讲会现场投递简历</w:t>
      </w:r>
      <w:r>
        <w:rPr>
          <w:rFonts w:hint="default"/>
          <w:lang w:eastAsia="zh-Hans"/>
        </w:rPr>
        <w:t>；</w:t>
      </w:r>
    </w:p>
    <w:p>
      <w:pPr>
        <w:numPr>
          <w:ilvl w:val="0"/>
          <w:numId w:val="2"/>
        </w:numPr>
        <w:spacing w:line="440" w:lineRule="exact"/>
        <w:ind w:left="420" w:leftChars="0" w:hanging="420" w:firstLineChars="0"/>
      </w:pPr>
      <w:r>
        <w:rPr>
          <w:rFonts w:hint="eastAsia"/>
          <w:lang w:val="en-US" w:eastAsia="zh-Hans"/>
        </w:rPr>
        <w:t>网申投递简历</w:t>
      </w:r>
      <w:r>
        <w:rPr>
          <w:rFonts w:hint="default"/>
          <w:lang w:eastAsia="zh-Hans"/>
        </w:rPr>
        <w:t>，https://app.mokahr.com/campus-recruitment/dengkang/39794#/</w:t>
      </w:r>
    </w:p>
    <w:p>
      <w:pPr>
        <w:rPr>
          <w:rFonts w:hint="eastAsia" w:ascii="微软雅黑" w:hAnsi="微软雅黑" w:eastAsia="微软雅黑"/>
          <w:bCs/>
          <w:color w:val="FF0000"/>
        </w:rPr>
      </w:pPr>
      <w:r>
        <w:rPr>
          <w:rFonts w:hint="eastAsia" w:ascii="微软雅黑" w:hAnsi="微软雅黑" w:eastAsia="微软雅黑"/>
          <w:bCs/>
          <w:color w:val="FF0000"/>
        </w:rPr>
        <w:drawing>
          <wp:inline distT="0" distB="0" distL="114300" distR="114300">
            <wp:extent cx="6087110" cy="8117205"/>
            <wp:effectExtent l="0" t="0" r="8890" b="10795"/>
            <wp:docPr id="1" name="图片 1" descr="海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报"/>
                    <pic:cNvPicPr>
                      <a:picLocks noChangeAspect="1"/>
                    </pic:cNvPicPr>
                  </pic:nvPicPr>
                  <pic:blipFill>
                    <a:blip r:embed="rId5"/>
                    <a:stretch>
                      <a:fillRect/>
                    </a:stretch>
                  </pic:blipFill>
                  <pic:spPr>
                    <a:xfrm>
                      <a:off x="0" y="0"/>
                      <a:ext cx="6087110" cy="811720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drawing>
        <wp:inline distT="0" distB="0" distL="114300" distR="114300">
          <wp:extent cx="2194560" cy="381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194560" cy="38100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E2CA7"/>
    <w:multiLevelType w:val="singleLevel"/>
    <w:tmpl w:val="5D6E2CA7"/>
    <w:lvl w:ilvl="0" w:tentative="0">
      <w:start w:val="2"/>
      <w:numFmt w:val="chineseCounting"/>
      <w:suff w:val="nothing"/>
      <w:lvlText w:val="%1、"/>
      <w:lvlJc w:val="left"/>
    </w:lvl>
  </w:abstractNum>
  <w:abstractNum w:abstractNumId="1">
    <w:nsid w:val="614033FD"/>
    <w:multiLevelType w:val="singleLevel"/>
    <w:tmpl w:val="614033FD"/>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2A"/>
    <w:rsid w:val="00012539"/>
    <w:rsid w:val="00013A7A"/>
    <w:rsid w:val="000173D5"/>
    <w:rsid w:val="00074098"/>
    <w:rsid w:val="00074824"/>
    <w:rsid w:val="000A29AB"/>
    <w:rsid w:val="000A4DBA"/>
    <w:rsid w:val="0010151C"/>
    <w:rsid w:val="00111D8B"/>
    <w:rsid w:val="001340AE"/>
    <w:rsid w:val="0015086D"/>
    <w:rsid w:val="00156B15"/>
    <w:rsid w:val="0019008E"/>
    <w:rsid w:val="0024327E"/>
    <w:rsid w:val="00273BFC"/>
    <w:rsid w:val="002B2F36"/>
    <w:rsid w:val="002B7751"/>
    <w:rsid w:val="002C24A3"/>
    <w:rsid w:val="002D5638"/>
    <w:rsid w:val="002E3F72"/>
    <w:rsid w:val="002F7D3F"/>
    <w:rsid w:val="003D31A7"/>
    <w:rsid w:val="003E1E39"/>
    <w:rsid w:val="003E7BB6"/>
    <w:rsid w:val="00402172"/>
    <w:rsid w:val="004263FD"/>
    <w:rsid w:val="00427B56"/>
    <w:rsid w:val="004838C2"/>
    <w:rsid w:val="00486B63"/>
    <w:rsid w:val="004F0DE2"/>
    <w:rsid w:val="00535ACF"/>
    <w:rsid w:val="00555B39"/>
    <w:rsid w:val="005B3F14"/>
    <w:rsid w:val="005C3A26"/>
    <w:rsid w:val="00615E0A"/>
    <w:rsid w:val="00626460"/>
    <w:rsid w:val="0064620D"/>
    <w:rsid w:val="0067036B"/>
    <w:rsid w:val="0067509A"/>
    <w:rsid w:val="00676668"/>
    <w:rsid w:val="006F52D9"/>
    <w:rsid w:val="007077BA"/>
    <w:rsid w:val="007330AF"/>
    <w:rsid w:val="007471F5"/>
    <w:rsid w:val="007D4842"/>
    <w:rsid w:val="00821169"/>
    <w:rsid w:val="008315B1"/>
    <w:rsid w:val="00837F5A"/>
    <w:rsid w:val="008C0659"/>
    <w:rsid w:val="008C33C2"/>
    <w:rsid w:val="008C74BF"/>
    <w:rsid w:val="008D7AD9"/>
    <w:rsid w:val="0090437C"/>
    <w:rsid w:val="0092176B"/>
    <w:rsid w:val="00930286"/>
    <w:rsid w:val="00933AD7"/>
    <w:rsid w:val="0096595D"/>
    <w:rsid w:val="009A5D44"/>
    <w:rsid w:val="009B0B48"/>
    <w:rsid w:val="009F7E32"/>
    <w:rsid w:val="00A06937"/>
    <w:rsid w:val="00A455EC"/>
    <w:rsid w:val="00A7009C"/>
    <w:rsid w:val="00A77EF9"/>
    <w:rsid w:val="00A82EDB"/>
    <w:rsid w:val="00AB16E8"/>
    <w:rsid w:val="00AD65AA"/>
    <w:rsid w:val="00B42390"/>
    <w:rsid w:val="00B45BF6"/>
    <w:rsid w:val="00B518B9"/>
    <w:rsid w:val="00B85C38"/>
    <w:rsid w:val="00BB3752"/>
    <w:rsid w:val="00BE19DF"/>
    <w:rsid w:val="00C329B6"/>
    <w:rsid w:val="00C647D9"/>
    <w:rsid w:val="00C81875"/>
    <w:rsid w:val="00CC7CB4"/>
    <w:rsid w:val="00CE36F0"/>
    <w:rsid w:val="00CF00DF"/>
    <w:rsid w:val="00D25490"/>
    <w:rsid w:val="00D27899"/>
    <w:rsid w:val="00D33050"/>
    <w:rsid w:val="00D46E23"/>
    <w:rsid w:val="00D76DDB"/>
    <w:rsid w:val="00DC7FBA"/>
    <w:rsid w:val="00DD32CF"/>
    <w:rsid w:val="00E14791"/>
    <w:rsid w:val="00E30416"/>
    <w:rsid w:val="00E43057"/>
    <w:rsid w:val="00E4321F"/>
    <w:rsid w:val="00E47649"/>
    <w:rsid w:val="00E54528"/>
    <w:rsid w:val="00E64416"/>
    <w:rsid w:val="00EC3C6F"/>
    <w:rsid w:val="00EC5596"/>
    <w:rsid w:val="00ED0315"/>
    <w:rsid w:val="00EE5B2A"/>
    <w:rsid w:val="00F414B1"/>
    <w:rsid w:val="00F561CF"/>
    <w:rsid w:val="00F57DE9"/>
    <w:rsid w:val="00F6627B"/>
    <w:rsid w:val="00F7064F"/>
    <w:rsid w:val="00FA47DB"/>
    <w:rsid w:val="00FF7857"/>
    <w:rsid w:val="043026DA"/>
    <w:rsid w:val="056308CA"/>
    <w:rsid w:val="05F04304"/>
    <w:rsid w:val="0F86033E"/>
    <w:rsid w:val="104058F8"/>
    <w:rsid w:val="13CC667C"/>
    <w:rsid w:val="194D2D4D"/>
    <w:rsid w:val="1A0A7924"/>
    <w:rsid w:val="1B453961"/>
    <w:rsid w:val="1BB254F5"/>
    <w:rsid w:val="1EA0425C"/>
    <w:rsid w:val="2116024C"/>
    <w:rsid w:val="21363C8F"/>
    <w:rsid w:val="215D22E2"/>
    <w:rsid w:val="22456C61"/>
    <w:rsid w:val="250C1958"/>
    <w:rsid w:val="285641F0"/>
    <w:rsid w:val="28C91537"/>
    <w:rsid w:val="2C2B161C"/>
    <w:rsid w:val="30F712A4"/>
    <w:rsid w:val="31F4142A"/>
    <w:rsid w:val="35F01A95"/>
    <w:rsid w:val="38395547"/>
    <w:rsid w:val="3B1F5510"/>
    <w:rsid w:val="3D2755B8"/>
    <w:rsid w:val="3DC71C61"/>
    <w:rsid w:val="41F638BA"/>
    <w:rsid w:val="422A6B63"/>
    <w:rsid w:val="45C546E8"/>
    <w:rsid w:val="466A6ED3"/>
    <w:rsid w:val="498830B6"/>
    <w:rsid w:val="4C152B2C"/>
    <w:rsid w:val="4C973398"/>
    <w:rsid w:val="55270231"/>
    <w:rsid w:val="563A70CA"/>
    <w:rsid w:val="5B7752A2"/>
    <w:rsid w:val="5E7F2E11"/>
    <w:rsid w:val="5EAD7266"/>
    <w:rsid w:val="640463D8"/>
    <w:rsid w:val="659A00EE"/>
    <w:rsid w:val="690E6386"/>
    <w:rsid w:val="6A475B37"/>
    <w:rsid w:val="6C381B1B"/>
    <w:rsid w:val="6CB01381"/>
    <w:rsid w:val="707E0AB9"/>
    <w:rsid w:val="724B167A"/>
    <w:rsid w:val="733739AD"/>
    <w:rsid w:val="75F2CD09"/>
    <w:rsid w:val="77AF7D54"/>
    <w:rsid w:val="787377FE"/>
    <w:rsid w:val="796527E4"/>
    <w:rsid w:val="7BB16674"/>
    <w:rsid w:val="7DBB62C1"/>
    <w:rsid w:val="7EFBD993"/>
    <w:rsid w:val="7FBC3B92"/>
    <w:rsid w:val="9FB6DB22"/>
    <w:rsid w:val="F3FF3D84"/>
    <w:rsid w:val="FBDB968C"/>
    <w:rsid w:val="FDF7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sz w:val="28"/>
      <w:szCs w:val="20"/>
    </w:r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paragraph" w:customStyle="1" w:styleId="11">
    <w:name w:val="列出段落1"/>
    <w:basedOn w:val="1"/>
    <w:qFormat/>
    <w:uiPriority w:val="34"/>
    <w:pPr>
      <w:ind w:firstLine="420" w:firstLineChars="200"/>
    </w:pPr>
  </w:style>
  <w:style w:type="character" w:customStyle="1" w:styleId="12">
    <w:name w:val="页眉 Char"/>
    <w:basedOn w:val="9"/>
    <w:link w:val="5"/>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纯文本 Char"/>
    <w:basedOn w:val="9"/>
    <w:link w:val="2"/>
    <w:qFormat/>
    <w:uiPriority w:val="0"/>
    <w:rPr>
      <w:rFonts w:ascii="宋体" w:hAnsi="Courier New"/>
      <w:kern w:val="2"/>
      <w:sz w:val="28"/>
    </w:rPr>
  </w:style>
  <w:style w:type="paragraph" w:customStyle="1" w:styleId="16">
    <w:name w:val="列表段落1"/>
    <w:basedOn w:val="1"/>
    <w:qFormat/>
    <w:uiPriority w:val="34"/>
    <w:pPr>
      <w:ind w:firstLine="420" w:firstLineChars="200"/>
    </w:pPr>
    <w:rPr>
      <w:rFonts w:asciiTheme="minorHAnsi" w:hAnsiTheme="minorHAnsi" w:eastAsiaTheme="minorEastAsia" w:cstheme="minorBidi"/>
    </w:rPr>
  </w:style>
  <w:style w:type="paragraph" w:customStyle="1"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158</Words>
  <Characters>905</Characters>
  <Lines>7</Lines>
  <Paragraphs>2</Paragraphs>
  <TotalTime>0</TotalTime>
  <ScaleCrop>false</ScaleCrop>
  <LinksUpToDate>false</LinksUpToDate>
  <CharactersWithSpaces>1061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2015-09-18T07:31:00Z</dcterms:created>
  <dc:creator>0931</dc:creator>
  <cp:lastModifiedBy>Administrator</cp:lastModifiedBy>
  <cp:lastPrinted>2018-10-20T22:56:00Z</cp:lastPrinted>
  <dcterms:modified xsi:type="dcterms:W3CDTF">2021-11-10T06:42:24Z</dcterms:modified>
  <dc:title>登康（冷酸灵）公司2016届校园招聘简章</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67898C87B38448628DEFE5C82D1186F3</vt:lpwstr>
  </property>
</Properties>
</file>