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236220</wp:posOffset>
            </wp:positionV>
            <wp:extent cx="1272540" cy="1175385"/>
            <wp:effectExtent l="0" t="0" r="7620" b="13335"/>
            <wp:wrapNone/>
            <wp:docPr id="2" name="图片 1" descr="http://www.51wendang.com/pic/a010c9fa6ed4edfc28532e0cffdfdd668b211cc2/1-373-png_6_0_0_135_111_622_390_892.979_1262.879-595-0-48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www.51wendang.com/pic/a010c9fa6ed4edfc28532e0cffdfdd668b211cc2/1-373-png_6_0_0_135_111_622_390_892.979_1262.879-595-0-48-595.jpg"/>
                    <pic:cNvPicPr>
                      <a:picLocks noChangeAspect="1"/>
                    </pic:cNvPicPr>
                  </pic:nvPicPr>
                  <pic:blipFill>
                    <a:blip r:embed="rId7"/>
                    <a:srcRect l="37953" t="60872" r="38573" b="4491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仿宋" w:hAnsi="仿宋" w:eastAsia="仿宋" w:cs="仿宋"/>
          <w:sz w:val="21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1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96"/>
          <w:szCs w:val="160"/>
          <w:lang w:val="en-US" w:eastAsia="zh-CN"/>
        </w:rPr>
        <w:t>贵州商学院</w:t>
      </w:r>
    </w:p>
    <w:p>
      <w:pPr>
        <w:jc w:val="center"/>
        <w:rPr>
          <w:rFonts w:hint="eastAsia" w:ascii="仿宋" w:hAnsi="仿宋" w:eastAsia="仿宋" w:cs="仿宋"/>
          <w:b/>
          <w:bCs/>
          <w:sz w:val="72"/>
          <w:szCs w:val="144"/>
        </w:rPr>
      </w:pPr>
      <w:r>
        <w:rPr>
          <w:rFonts w:hint="eastAsia" w:ascii="仿宋" w:hAnsi="仿宋" w:eastAsia="仿宋" w:cs="仿宋"/>
          <w:b/>
          <w:bCs/>
          <w:sz w:val="72"/>
          <w:szCs w:val="144"/>
        </w:rPr>
        <w:t>本科</w:t>
      </w:r>
      <w:r>
        <w:rPr>
          <w:rFonts w:hint="eastAsia" w:ascii="仿宋" w:hAnsi="仿宋" w:eastAsia="仿宋" w:cs="仿宋"/>
          <w:b/>
          <w:bCs/>
          <w:sz w:val="72"/>
          <w:szCs w:val="144"/>
          <w:lang w:val="en-US" w:eastAsia="zh-CN"/>
        </w:rPr>
        <w:t>线上教学</w:t>
      </w:r>
      <w:r>
        <w:rPr>
          <w:rFonts w:hint="eastAsia" w:ascii="仿宋" w:hAnsi="仿宋" w:eastAsia="仿宋" w:cs="仿宋"/>
          <w:b/>
          <w:bCs/>
          <w:sz w:val="72"/>
          <w:szCs w:val="144"/>
        </w:rPr>
        <w:t>质量报告</w:t>
      </w:r>
    </w:p>
    <w:p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>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学年第一学期</w:t>
      </w:r>
      <w:r>
        <w:rPr>
          <w:rFonts w:hint="eastAsia" w:ascii="仿宋" w:hAnsi="仿宋" w:eastAsia="仿宋" w:cs="仿宋"/>
          <w:sz w:val="32"/>
          <w:szCs w:val="40"/>
        </w:rPr>
        <w:t>）</w:t>
      </w:r>
    </w:p>
    <w:p>
      <w:pPr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9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9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9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9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96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t>XXXX学院（部）</w:t>
      </w:r>
    </w:p>
    <w:p>
      <w:pPr>
        <w:jc w:val="center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t>二〇二二年十一月</w:t>
      </w:r>
    </w:p>
    <w:p>
      <w:pPr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  <w:lang w:val="en-US" w:eastAsia="zh-CN"/>
        </w:rPr>
        <w:br w:type="page"/>
      </w:r>
    </w:p>
    <w:p>
      <w:pPr>
        <w:jc w:val="center"/>
        <w:rPr>
          <w:rFonts w:hint="default" w:ascii="仿宋" w:hAnsi="仿宋" w:eastAsia="仿宋" w:cs="仿宋"/>
          <w:sz w:val="40"/>
          <w:szCs w:val="4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0"/>
          <w:szCs w:val="4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6221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kern w:val="2"/>
          <w:sz w:val="30"/>
          <w:szCs w:val="96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</w:rPr>
          </w:pPr>
        </w:p>
        <w:p>
          <w:pPr>
            <w:pStyle w:val="9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_Toc30163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lang w:val="en-US" w:eastAsia="zh-CN"/>
            </w:rPr>
            <w:t>前  言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_Toc30163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- 1 -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_Toc12920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 w:val="28"/>
              <w:szCs w:val="44"/>
              <w:lang w:val="en-US" w:eastAsia="zh-CN"/>
            </w:rPr>
            <w:t>一、线上教学开展的总体情况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- 1 -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</w:pP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begin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instrText xml:space="preserve"> HYPERLINK \l _Toc28377 </w:instrText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（一）教学平台使用情况</w:t>
          </w:r>
          <w:r>
            <w:rPr>
              <w:sz w:val="28"/>
            </w:rPr>
            <w:tab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end"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 xml:space="preserve">- </w:t>
          </w:r>
          <w:r>
            <w:rPr>
              <w:rFonts w:hint="eastAsia"/>
              <w:sz w:val="28"/>
              <w:lang w:val="en-US" w:eastAsia="zh-CN"/>
            </w:rPr>
            <w:t>2</w:t>
          </w:r>
          <w:r>
            <w:rPr>
              <w:sz w:val="28"/>
            </w:rPr>
            <w:t xml:space="preserve"> -</w:t>
          </w:r>
          <w:r>
            <w:rPr>
              <w:sz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</w:pP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begin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instrText xml:space="preserve"> HYPERLINK \l _Toc185 </w:instrText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（二）线上教学安排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 xml:space="preserve">- </w:t>
          </w:r>
          <w:r>
            <w:rPr>
              <w:rFonts w:hint="eastAsia"/>
              <w:sz w:val="28"/>
              <w:lang w:val="en-US" w:eastAsia="zh-CN"/>
            </w:rPr>
            <w:t>3</w:t>
          </w:r>
          <w:r>
            <w:rPr>
              <w:sz w:val="28"/>
            </w:rPr>
            <w:t xml:space="preserve"> -</w:t>
          </w:r>
          <w:r>
            <w:rPr>
              <w:sz w:val="28"/>
            </w:rPr>
            <w:fldChar w:fldCharType="end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</w:pP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begin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instrText xml:space="preserve"> HYPERLINK \l _Toc23615 </w:instrText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（三）教学管理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 xml:space="preserve">- </w:t>
          </w:r>
          <w:r>
            <w:rPr>
              <w:rFonts w:hint="eastAsia"/>
              <w:sz w:val="28"/>
              <w:lang w:val="en-US" w:eastAsia="zh-CN"/>
            </w:rPr>
            <w:t>4</w:t>
          </w:r>
          <w:r>
            <w:rPr>
              <w:sz w:val="28"/>
            </w:rPr>
            <w:t xml:space="preserve"> -</w:t>
          </w:r>
          <w:r>
            <w:rPr>
              <w:sz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</w:pP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（四）教学效果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 xml:space="preserve">- </w:t>
          </w:r>
          <w:r>
            <w:rPr>
              <w:rFonts w:hint="eastAsia"/>
              <w:sz w:val="28"/>
              <w:lang w:val="en-US" w:eastAsia="zh-CN"/>
            </w:rPr>
            <w:t>4</w:t>
          </w:r>
          <w:r>
            <w:rPr>
              <w:sz w:val="28"/>
            </w:rPr>
            <w:t xml:space="preserve"> -</w:t>
          </w:r>
          <w:r>
            <w:rPr>
              <w:sz w:val="28"/>
            </w:rPr>
            <w:fldChar w:fldCharType="end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begin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instrText xml:space="preserve"> HYPERLINK \l _Toc9134 </w:instrText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（五）特色与亮点</w:t>
          </w:r>
          <w:r>
            <w:rPr>
              <w:sz w:val="28"/>
            </w:rPr>
            <w:tab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begin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instrText xml:space="preserve"> PAGEREF _Toc9134 </w:instrText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separate"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_Toc12920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 xml:space="preserve">- </w:t>
          </w:r>
          <w:r>
            <w:rPr>
              <w:rFonts w:hint="eastAsia"/>
              <w:sz w:val="28"/>
              <w:lang w:val="en-US" w:eastAsia="zh-CN"/>
            </w:rPr>
            <w:t>4</w:t>
          </w:r>
          <w:r>
            <w:rPr>
              <w:sz w:val="28"/>
            </w:rPr>
            <w:t xml:space="preserve"> -</w:t>
          </w:r>
          <w:r>
            <w:rPr>
              <w:sz w:val="28"/>
            </w:rPr>
            <w:fldChar w:fldCharType="end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end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_Toc6377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 w:val="28"/>
              <w:szCs w:val="44"/>
              <w:lang w:val="en-US" w:eastAsia="zh-CN"/>
            </w:rPr>
            <w:t>二、线上教学开展的优秀课例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_Toc6377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- 4 -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_Toc5283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（一）在线优秀课程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_Toc5283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- 5 -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_Toc7651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宋体" w:eastAsia="黑体" w:cs="宋体"/>
              <w:kern w:val="0"/>
              <w:sz w:val="28"/>
              <w:szCs w:val="36"/>
              <w:lang w:val="en-US" w:eastAsia="zh-CN" w:bidi="ar"/>
            </w:rPr>
            <w:t>（二）典型案例推荐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_Toc7651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- 5 -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28"/>
            </w:rPr>
          </w:pP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instrText xml:space="preserve"> HYPERLINK \l _Toc2948 </w:instrText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 w:val="28"/>
              <w:szCs w:val="44"/>
              <w:lang w:val="en-US" w:eastAsia="zh-CN"/>
            </w:rPr>
            <w:t>三、线上教学的问题与改进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_Toc2948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- 6 -</w:t>
          </w:r>
          <w:r>
            <w:rPr>
              <w:sz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96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</w:p>
        <w:p>
          <w:pPr>
            <w:jc w:val="left"/>
            <w:rPr>
              <w:rFonts w:hint="eastAsia" w:ascii="仿宋" w:hAnsi="仿宋" w:eastAsia="仿宋" w:cs="仿宋"/>
              <w:sz w:val="30"/>
              <w:szCs w:val="96"/>
              <w:lang w:val="en-US" w:eastAsia="zh-CN"/>
            </w:rPr>
          </w:pPr>
          <w:r>
            <w:rPr>
              <w:rFonts w:hint="eastAsia" w:ascii="仿宋" w:hAnsi="仿宋" w:eastAsia="仿宋" w:cs="仿宋"/>
              <w:szCs w:val="96"/>
              <w:lang w:val="en-US" w:eastAsia="zh-CN"/>
            </w:rPr>
            <w:fldChar w:fldCharType="end"/>
          </w:r>
          <w:r>
            <w:rPr>
              <w:rFonts w:hint="eastAsia" w:ascii="楷体" w:hAnsi="楷体" w:eastAsia="楷体" w:cs="楷体"/>
              <w:color w:val="FF0000"/>
              <w:sz w:val="30"/>
              <w:szCs w:val="30"/>
              <w:lang w:val="en-US" w:eastAsia="zh-CN"/>
            </w:rPr>
            <w:t>（目录中所包含的内容为必要项，请勿删减。提交时，请删除所有红色提示文字。</w:t>
          </w:r>
          <w:bookmarkStart w:id="14" w:name="_GoBack"/>
          <w:bookmarkEnd w:id="14"/>
          <w:r>
            <w:rPr>
              <w:rFonts w:hint="eastAsia" w:ascii="楷体" w:hAnsi="楷体" w:eastAsia="楷体" w:cs="楷体"/>
              <w:color w:val="FF0000"/>
              <w:sz w:val="30"/>
              <w:szCs w:val="30"/>
              <w:lang w:val="en-US" w:eastAsia="zh-CN"/>
            </w:rPr>
            <w:t>）</w:t>
          </w:r>
        </w:p>
      </w:sdtContent>
    </w:sdt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黑体" w:hAnsi="黑体" w:eastAsia="黑体" w:cs="黑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bookmarkStart w:id="0" w:name="_Toc1292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仿宋" w:hAnsi="仿宋" w:eastAsia="仿宋" w:cs="仿宋"/>
          <w:b/>
          <w:color w:val="FF0000"/>
          <w:kern w:val="0"/>
          <w:sz w:val="32"/>
          <w:szCs w:val="32"/>
          <w:lang w:val="en-US" w:eastAsia="zh-CN" w:bidi="ar"/>
        </w:rPr>
      </w:pPr>
      <w:bookmarkStart w:id="1" w:name="_Toc30163"/>
      <w:r>
        <w:rPr>
          <w:rFonts w:hint="eastAsia" w:ascii="黑体" w:hAnsi="黑体" w:eastAsia="黑体" w:cs="黑体"/>
          <w:lang w:val="en-US" w:eastAsia="zh-CN"/>
        </w:rPr>
        <w:t>前  言</w:t>
      </w:r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1" w:after="0" w:afterAutospacing="1" w:line="400" w:lineRule="exact"/>
        <w:ind w:right="0"/>
        <w:jc w:val="left"/>
        <w:rPr>
          <w:rFonts w:hint="eastAsia" w:ascii="仿宋" w:hAnsi="仿宋" w:eastAsia="仿宋" w:cs="仿宋"/>
          <w:b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（正文部分均使用楷体小三，其余各级标题与图表题均为黑体，字号见模板配置，整体排版统一美观，可直接使用模板配置）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一级、二级标题内容为固定要求（见目录），其余内容为建议，各二级学院（部）可自行调整。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前言部分可从线上教学开展情况整体情况展开，包括但不限于实施背景、政策依据、领导重视程度、二级学院（部）响应速度、工作部署与目标、在线课程开出情况、覆盖范围、师生参与总体情况、教学管理、教学质量监控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建议篇幅控制在一页内。</w:t>
      </w:r>
    </w:p>
    <w:p>
      <w:pP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br w:type="page"/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一、线上教学开展的总体情况</w:t>
      </w:r>
      <w:bookmarkEnd w:id="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根据实际情况具体描述。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360" w:lineRule="auto"/>
        <w:ind w:firstLine="723" w:firstLineChars="200"/>
        <w:textAlignment w:val="auto"/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</w:pPr>
      <w:bookmarkStart w:id="2" w:name="_Toc28377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（一）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 w:eastAsia="zh-CN" w:bidi="ar"/>
        </w:rPr>
        <w:t>教</w:t>
      </w:r>
      <w:r>
        <w:rPr>
          <w:rFonts w:hint="eastAsia" w:ascii="黑体" w:hAnsi="宋体" w:eastAsia="黑体" w:cs="宋体"/>
          <w:b/>
          <w:bCs w:val="0"/>
          <w:color w:val="auto"/>
          <w:kern w:val="0"/>
          <w:sz w:val="36"/>
          <w:szCs w:val="36"/>
          <w:lang w:val="en-US" w:eastAsia="zh-CN" w:bidi="ar"/>
        </w:rPr>
        <w:t>学平</w:t>
      </w:r>
      <w:r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 w:eastAsia="zh-CN" w:bidi="ar"/>
        </w:rPr>
        <w:t>台</w:t>
      </w:r>
      <w:bookmarkEnd w:id="2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使用情况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360" w:lineRule="auto"/>
        <w:ind w:firstLine="640" w:firstLineChars="200"/>
        <w:textAlignment w:val="auto"/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 w:bidi="ar"/>
        </w:rPr>
      </w:pPr>
      <w:r>
        <w:rPr>
          <w:rStyle w:val="14"/>
          <w:rFonts w:hint="eastAsia"/>
          <w:b w:val="0"/>
          <w:lang w:val="en-US" w:eastAsia="zh-CN"/>
        </w:rPr>
        <w:t>1.线上教学平台的客观数据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例如：主要平台使用情况文字概述...（以下图表仅为参考）</w:t>
      </w:r>
    </w:p>
    <w:p>
      <w:pPr>
        <w:spacing w:line="360" w:lineRule="auto"/>
        <w:jc w:val="center"/>
        <w:rPr>
          <w:rFonts w:hint="default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表1-1：</w:t>
      </w:r>
      <w:r>
        <w:rPr>
          <w:rFonts w:hint="eastAsia" w:ascii="黑体" w:hAnsi="黑体" w:eastAsia="黑体" w:cs="黑体"/>
          <w:color w:val="auto"/>
          <w:sz w:val="22"/>
          <w:szCs w:val="22"/>
          <w:highlight w:val="none"/>
          <w:lang w:val="en-US" w:eastAsia="zh-CN"/>
        </w:rPr>
        <w:t>线上教学平台疫情期间教学保障情况统计表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13"/>
        <w:gridCol w:w="731"/>
        <w:gridCol w:w="728"/>
        <w:gridCol w:w="822"/>
        <w:gridCol w:w="822"/>
        <w:gridCol w:w="82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主要平台名称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功能属性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课程</w:t>
            </w:r>
          </w:p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门数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学生人数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教师人数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总活</w:t>
            </w:r>
          </w:p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跃度</w:t>
            </w:r>
          </w:p>
        </w:tc>
        <w:tc>
          <w:tcPr>
            <w:tcW w:w="1064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超星（例）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.......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.......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pct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表格内涵说明(数据解释)，说明线上教学平台建设成效、数字资源建设情况与使用效果等...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表1-2：学院独立建设的课程资源在线上教学平台的使用情况统计表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46"/>
        <w:gridCol w:w="1176"/>
        <w:gridCol w:w="1193"/>
        <w:gridCol w:w="1168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数字资源名称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个数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学生使用人次</w:t>
            </w: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教师使用人次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课程音频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课程视频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练习题库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辅助材料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93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pct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420" w:firstLineChars="200"/>
        <w:jc w:val="left"/>
        <w:rPr>
          <w:rFonts w:hint="eastAsia" w:ascii="楷体" w:hAnsi="楷体" w:eastAsia="楷体" w:cs="楷体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vertAlign w:val="baseline"/>
          <w:lang w:val="en-US" w:eastAsia="zh-CN"/>
        </w:rPr>
        <w:t>注</w:t>
      </w:r>
      <w:r>
        <w:rPr>
          <w:rFonts w:hint="eastAsia" w:ascii="楷体" w:hAnsi="楷体" w:eastAsia="楷体" w:cs="楷体"/>
          <w:sz w:val="21"/>
          <w:szCs w:val="21"/>
          <w:highlight w:val="none"/>
          <w:vertAlign w:val="baseline"/>
          <w:lang w:val="en-US" w:eastAsia="zh-CN"/>
        </w:rPr>
        <w:t>：独立建设的课程资源是指由本校独立开发并使用的课程；</w:t>
      </w:r>
    </w:p>
    <w:p>
      <w:pPr>
        <w:pStyle w:val="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360" w:lineRule="auto"/>
        <w:ind w:firstLine="640" w:firstLineChars="200"/>
        <w:textAlignment w:val="auto"/>
        <w:rPr>
          <w:rStyle w:val="14"/>
          <w:rFonts w:hint="eastAsia"/>
          <w:b w:val="0"/>
          <w:lang w:val="en-US" w:eastAsia="zh-CN"/>
        </w:rPr>
      </w:pPr>
      <w:r>
        <w:rPr>
          <w:rStyle w:val="14"/>
          <w:rFonts w:hint="eastAsia"/>
          <w:b w:val="0"/>
          <w:lang w:val="en-US" w:eastAsia="zh-CN"/>
        </w:rPr>
        <w:t>教学平台的问卷数据分析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文字概述师生参与问卷评价的基本情况，并结合相关题项做概要性描述。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师生对线上教学的适应度分析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1" w:after="0" w:afterAutospacing="1" w:line="240" w:lineRule="auto"/>
        <w:ind w:right="0" w:rightChars="0" w:firstLine="420" w:firstLineChars="200"/>
        <w:jc w:val="center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1609725" cy="1362075"/>
            <wp:effectExtent l="0" t="0" r="9525" b="952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9725" cy="1362075"/>
            <wp:effectExtent l="0" t="0" r="9525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1" w:after="0" w:afterAutospacing="1" w:line="400" w:lineRule="exact"/>
        <w:ind w:right="0" w:rightChars="0" w:firstLine="420" w:firstLineChars="200"/>
        <w:jc w:val="center"/>
        <w:rPr>
          <w:rFonts w:hint="eastAsia" w:ascii="黑体" w:hAnsi="黑体" w:eastAsia="黑体" w:cs="黑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1"/>
          <w:szCs w:val="21"/>
          <w:lang w:val="en-US" w:eastAsia="zh-CN"/>
        </w:rPr>
        <w:t>图X：XX学院.....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 w:eastAsia="zh-CN" w:bidi="ar"/>
        </w:rPr>
      </w:pPr>
      <w:bookmarkStart w:id="3" w:name="_Toc185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（二）</w:t>
      </w:r>
      <w:bookmarkEnd w:id="3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线上教学安排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Style w:val="14"/>
          <w:rFonts w:hint="eastAsia" w:ascii="黑体" w:hAnsi="黑体" w:eastAsia="黑体" w:cs="黑体"/>
          <w:b w:val="0"/>
          <w:kern w:val="2"/>
          <w:szCs w:val="24"/>
          <w:lang w:val="en-US" w:eastAsia="zh-CN" w:bidi="ar-SA"/>
        </w:rPr>
      </w:pPr>
      <w:r>
        <w:rPr>
          <w:rStyle w:val="14"/>
          <w:rFonts w:hint="eastAsia" w:ascii="黑体" w:hAnsi="黑体" w:eastAsia="黑体" w:cs="黑体"/>
          <w:b w:val="0"/>
          <w:kern w:val="2"/>
          <w:szCs w:val="24"/>
          <w:lang w:val="en-US" w:eastAsia="zh-CN" w:bidi="ar-SA"/>
        </w:rPr>
        <w:t>1. 线上教学师资队伍客观数据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线上教学师资队伍概况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4"/>
          <w:szCs w:val="24"/>
          <w:highlight w:val="red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表1-3：疫情期间教师参与线上教学基本情况统计表（职称）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71"/>
        <w:gridCol w:w="1567"/>
        <w:gridCol w:w="1635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教师职称</w:t>
            </w:r>
          </w:p>
        </w:tc>
        <w:tc>
          <w:tcPr>
            <w:tcW w:w="919" w:type="pct"/>
            <w:tcBorders>
              <w:top w:val="single" w:color="000000" w:sz="18" w:space="0"/>
              <w:left w:val="single" w:color="000000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专业课</w:t>
            </w:r>
          </w:p>
        </w:tc>
        <w:tc>
          <w:tcPr>
            <w:tcW w:w="959" w:type="pct"/>
            <w:tcBorders>
              <w:top w:val="single" w:color="000000" w:sz="18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公共课</w:t>
            </w:r>
          </w:p>
        </w:tc>
        <w:tc>
          <w:tcPr>
            <w:tcW w:w="919" w:type="pct"/>
            <w:tcBorders>
              <w:top w:val="single" w:color="000000" w:sz="18" w:space="0"/>
              <w:left w:val="single" w:color="000000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必修课</w:t>
            </w:r>
          </w:p>
        </w:tc>
        <w:tc>
          <w:tcPr>
            <w:tcW w:w="919" w:type="pct"/>
            <w:tcBorders>
              <w:top w:val="single" w:color="000000" w:sz="18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正高级</w:t>
            </w: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副高级</w:t>
            </w: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77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中级</w:t>
            </w: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初级</w:t>
            </w: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03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未评级</w:t>
            </w: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pct"/>
            <w:gridSpan w:val="2"/>
            <w:tcBorders>
              <w:right w:val="single" w:color="000000" w:sz="18" w:space="0"/>
              <w:tl2br w:val="nil"/>
              <w:tr2bl w:val="nil"/>
            </w:tcBorders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19" w:type="pct"/>
            <w:tcBorders>
              <w:left w:val="single" w:color="000000" w:sz="18" w:space="0"/>
              <w:bottom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tcBorders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bottom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tcBorders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楷体" w:hAnsi="楷体" w:eastAsia="楷体" w:cs="楷体"/>
          <w:color w:val="FF00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FF0000"/>
          <w:kern w:val="2"/>
          <w:sz w:val="24"/>
          <w:szCs w:val="24"/>
          <w:vertAlign w:val="baseline"/>
          <w:lang w:val="en-US" w:eastAsia="zh-CN" w:bidi="ar-SA"/>
        </w:rPr>
        <w:t>注：若任课教师同时承担不同类型的课程，允许重复统计。</w:t>
      </w:r>
    </w:p>
    <w:p>
      <w:pPr>
        <w:spacing w:line="360" w:lineRule="auto"/>
        <w:ind w:firstLine="480" w:firstLineChars="200"/>
        <w:jc w:val="left"/>
        <w:rPr>
          <w:rFonts w:hint="default" w:ascii="楷体" w:hAnsi="楷体" w:eastAsia="楷体" w:cs="楷体"/>
          <w:color w:val="FF0000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表1-4：疫情期间教师参与线上教学基本情况统计表（学历）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6"/>
        <w:gridCol w:w="1567"/>
        <w:gridCol w:w="1635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00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19" w:type="pc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专业课</w:t>
            </w:r>
          </w:p>
        </w:tc>
        <w:tc>
          <w:tcPr>
            <w:tcW w:w="959" w:type="pct"/>
            <w:tcBorders>
              <w:top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公共课</w:t>
            </w:r>
          </w:p>
        </w:tc>
        <w:tc>
          <w:tcPr>
            <w:tcW w:w="919" w:type="pc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必修课</w:t>
            </w:r>
          </w:p>
        </w:tc>
        <w:tc>
          <w:tcPr>
            <w:tcW w:w="919" w:type="pct"/>
            <w:tcBorders>
              <w:top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5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5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80" w:type="pct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5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lef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pct"/>
            <w:gridSpan w:val="2"/>
            <w:tcBorders>
              <w:right w:val="single" w:color="000000" w:sz="18" w:space="0"/>
            </w:tcBorders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19" w:type="pct"/>
            <w:tcBorders>
              <w:left w:val="single" w:color="000000" w:sz="18" w:space="0"/>
              <w:bottom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59" w:type="pct"/>
            <w:tcBorders>
              <w:bottom w:val="single" w:color="000000" w:sz="18" w:space="0"/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left w:val="single" w:color="000000" w:sz="18" w:space="0"/>
              <w:bottom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  <w:tc>
          <w:tcPr>
            <w:tcW w:w="919" w:type="pct"/>
            <w:tcBorders>
              <w:bottom w:val="single" w:color="000000" w:sz="18" w:space="0"/>
              <w:right w:val="single" w:color="000000" w:sz="18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楷体" w:hAnsi="楷体" w:eastAsia="楷体" w:cs="楷体"/>
          <w:color w:val="FF00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FF0000"/>
          <w:kern w:val="2"/>
          <w:sz w:val="24"/>
          <w:szCs w:val="24"/>
          <w:vertAlign w:val="baseline"/>
          <w:lang w:val="en-US" w:eastAsia="zh-CN" w:bidi="ar-SA"/>
        </w:rPr>
        <w:t>注：若任课教师同时承担不同类型的课程，允许重复统计。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表格内涵说明(数据解释)...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师资队伍情况小结...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2. 教学安排具体情况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723" w:firstLineChars="200"/>
        <w:textAlignment w:val="auto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 w:eastAsia="zh-CN" w:bidi="ar"/>
        </w:rPr>
      </w:pPr>
      <w:bookmarkStart w:id="4" w:name="_Toc23615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（三）</w:t>
      </w:r>
      <w:bookmarkEnd w:id="4"/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教学管理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723" w:firstLineChars="200"/>
        <w:textAlignment w:val="auto"/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教学效果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FF0000"/>
          <w:sz w:val="30"/>
          <w:szCs w:val="30"/>
          <w:lang w:val="en-US" w:eastAsia="zh-CN"/>
        </w:rPr>
        <w:t>可从师生满意度以及对未来开展线上教学的心理预期等方面展开。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firstLine="723" w:firstLineChars="200"/>
        <w:textAlignment w:val="auto"/>
        <w:rPr>
          <w:rFonts w:hint="eastAsia" w:ascii="黑体" w:hAnsi="宋体" w:eastAsia="黑体" w:cs="宋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cs="宋体"/>
          <w:color w:val="auto"/>
          <w:kern w:val="0"/>
          <w:sz w:val="36"/>
          <w:szCs w:val="36"/>
          <w:lang w:val="en-US" w:eastAsia="zh-CN" w:bidi="ar"/>
        </w:rPr>
        <w:t>（五）特色与亮点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bookmarkStart w:id="5" w:name="_Toc6377"/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...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br w:type="page"/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二、线上教学开展的优秀课例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bookmarkStart w:id="6" w:name="_Toc5283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（一）在线优秀课程</w:t>
      </w:r>
      <w:bookmarkEnd w:id="6"/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（建议在线优秀课程推荐数2个及以上）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可简要描述推荐的优秀课程的评价标准、遴选过程、结论。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表7：疫情期间线上教学优秀课例展示统计表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726"/>
        <w:gridCol w:w="866"/>
        <w:gridCol w:w="871"/>
        <w:gridCol w:w="1113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课例名称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类别1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类别2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任课教师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亮点描述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公共课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必修课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公共课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选修课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专业课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必修课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专业课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选修课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pct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600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508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511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653" w:type="pct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43" w:type="pct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表格应配以简要文字说明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72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bookmarkStart w:id="7" w:name="_Toc7651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（二）典型案例推荐</w:t>
      </w:r>
      <w:bookmarkEnd w:id="7"/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（建议典型案例推荐数2个及以上）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default" w:ascii="楷体" w:hAnsi="楷体" w:eastAsia="楷体" w:cs="楷体"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描述从那些角度去推荐。在以上优秀课例中，选择最能代表学院水平、体现线上教学特点的课程，详细具体的进行介绍，为本校和其他学院进行经验交流和推广。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883" w:firstLineChars="200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bookmarkStart w:id="8" w:name="_Toc2948"/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br w:type="page"/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三、线上教学的问题与改进</w:t>
      </w:r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</w:pPr>
      <w:bookmarkStart w:id="9" w:name="_Toc27250"/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可根据线上教学期间发现的问题着手，亦可从以下推荐内容展开：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（一）平台运行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平台运行与管理存在的问题及改进措施（如：培训情况、运行情况、使用情况等方面）。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可就有效性、价值引领、亮点与创新方面进行阐述。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bookmarkStart w:id="10" w:name="_Toc19048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（二）教师教学</w:t>
      </w:r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教学环境、教学目标、教学过程、教学效果方面存在的主要问题与改进。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可就有效性、价值引领、亮点与创新方面进行阐述。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bookmarkStart w:id="11" w:name="_Toc6064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（三）学生学习</w:t>
      </w:r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学生学习环境、自主学习、生师互动、作业完成等方面存在的问题与改进。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包括学习投入、学习深度、课外阅读等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bookmarkStart w:id="12" w:name="_Toc32268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（四）教学管理</w:t>
      </w:r>
      <w:bookmarkEnd w:id="1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疫情期间关于在线课程的制度配套、教学组织、毕业生工作等方面存在的问题与改进。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可就有效性、价值引领、亮点与创新方面进行阐述。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723" w:firstLineChars="200"/>
        <w:textAlignment w:val="auto"/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</w:pPr>
      <w:bookmarkStart w:id="13" w:name="_Toc24399"/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lang w:val="en-US" w:eastAsia="zh-CN" w:bidi="ar"/>
        </w:rPr>
        <w:t>（五）质量</w:t>
      </w:r>
      <w:bookmarkEnd w:id="13"/>
      <w:r>
        <w:rPr>
          <w:rFonts w:hint="eastAsia" w:ascii="黑体" w:hAnsi="宋体" w:cs="宋体"/>
          <w:b/>
          <w:color w:val="auto"/>
          <w:kern w:val="0"/>
          <w:sz w:val="36"/>
          <w:szCs w:val="36"/>
          <w:lang w:val="en-US" w:eastAsia="zh-CN" w:bidi="ar"/>
        </w:rPr>
        <w:t>监控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在线课程质量监控、信息反馈、持续改进等方面存在的问题与改进。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包括质量保障机制运行状况。</w:t>
      </w:r>
    </w:p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74987"/>
    <w:multiLevelType w:val="singleLevel"/>
    <w:tmpl w:val="4CE749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B648C"/>
    <w:multiLevelType w:val="singleLevel"/>
    <w:tmpl w:val="587B648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E8977B"/>
    <w:multiLevelType w:val="singleLevel"/>
    <w:tmpl w:val="7EE897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DY5MTY1MGI1OWVjYTFiYWRiYzA4Njk3OWZhYWIifQ=="/>
  </w:docVars>
  <w:rsids>
    <w:rsidRoot w:val="00000000"/>
    <w:rsid w:val="00E24C88"/>
    <w:rsid w:val="011004B7"/>
    <w:rsid w:val="01A37882"/>
    <w:rsid w:val="01D24518"/>
    <w:rsid w:val="02326439"/>
    <w:rsid w:val="02616C21"/>
    <w:rsid w:val="031751B2"/>
    <w:rsid w:val="033D317C"/>
    <w:rsid w:val="03692B50"/>
    <w:rsid w:val="041155BA"/>
    <w:rsid w:val="049513CE"/>
    <w:rsid w:val="04E20C86"/>
    <w:rsid w:val="05E60851"/>
    <w:rsid w:val="075D3319"/>
    <w:rsid w:val="09254077"/>
    <w:rsid w:val="096D0BFD"/>
    <w:rsid w:val="09E058CB"/>
    <w:rsid w:val="0A034D45"/>
    <w:rsid w:val="0BEB2E2B"/>
    <w:rsid w:val="0C2A2931"/>
    <w:rsid w:val="0C3E5F93"/>
    <w:rsid w:val="0DCF67E1"/>
    <w:rsid w:val="0E39744A"/>
    <w:rsid w:val="0E606B14"/>
    <w:rsid w:val="0E7D3D8D"/>
    <w:rsid w:val="0EFE2764"/>
    <w:rsid w:val="0F085112"/>
    <w:rsid w:val="0F563A45"/>
    <w:rsid w:val="0F854412"/>
    <w:rsid w:val="0F857554"/>
    <w:rsid w:val="0F8E66C1"/>
    <w:rsid w:val="0FDA227E"/>
    <w:rsid w:val="109E736E"/>
    <w:rsid w:val="10FE249B"/>
    <w:rsid w:val="11110CA9"/>
    <w:rsid w:val="126A3844"/>
    <w:rsid w:val="12B30E13"/>
    <w:rsid w:val="12B415CD"/>
    <w:rsid w:val="15E452B4"/>
    <w:rsid w:val="15E96115"/>
    <w:rsid w:val="15E96689"/>
    <w:rsid w:val="17770D4C"/>
    <w:rsid w:val="186101DB"/>
    <w:rsid w:val="1880345B"/>
    <w:rsid w:val="191A2AA1"/>
    <w:rsid w:val="19355C91"/>
    <w:rsid w:val="19941A8D"/>
    <w:rsid w:val="19C32BB1"/>
    <w:rsid w:val="1A0821B4"/>
    <w:rsid w:val="1A2152BF"/>
    <w:rsid w:val="1AD32A06"/>
    <w:rsid w:val="1AF63D81"/>
    <w:rsid w:val="1B254BB3"/>
    <w:rsid w:val="1B322340"/>
    <w:rsid w:val="1B7D0726"/>
    <w:rsid w:val="1BD405FC"/>
    <w:rsid w:val="1C766F16"/>
    <w:rsid w:val="1C9E6AE0"/>
    <w:rsid w:val="1DA21301"/>
    <w:rsid w:val="1DEE5857"/>
    <w:rsid w:val="1F9574F8"/>
    <w:rsid w:val="201D5EE7"/>
    <w:rsid w:val="2032322E"/>
    <w:rsid w:val="20EE1C9F"/>
    <w:rsid w:val="214C7EE5"/>
    <w:rsid w:val="215D49ED"/>
    <w:rsid w:val="21DD41B0"/>
    <w:rsid w:val="23E528ED"/>
    <w:rsid w:val="249F5380"/>
    <w:rsid w:val="25584A74"/>
    <w:rsid w:val="2570659E"/>
    <w:rsid w:val="25A9130F"/>
    <w:rsid w:val="25F75DD6"/>
    <w:rsid w:val="27CE62A6"/>
    <w:rsid w:val="27E450DC"/>
    <w:rsid w:val="289B6FFF"/>
    <w:rsid w:val="29CF27ED"/>
    <w:rsid w:val="2A0513D0"/>
    <w:rsid w:val="2A5E6636"/>
    <w:rsid w:val="2ACF14C6"/>
    <w:rsid w:val="2BBB387D"/>
    <w:rsid w:val="2CE63122"/>
    <w:rsid w:val="2CEA3DB8"/>
    <w:rsid w:val="2D400F32"/>
    <w:rsid w:val="2D893203"/>
    <w:rsid w:val="2D9C5243"/>
    <w:rsid w:val="2E201113"/>
    <w:rsid w:val="2EA56DD5"/>
    <w:rsid w:val="2F83574B"/>
    <w:rsid w:val="30BF5B83"/>
    <w:rsid w:val="326D290F"/>
    <w:rsid w:val="32752D3C"/>
    <w:rsid w:val="32F026E8"/>
    <w:rsid w:val="33061965"/>
    <w:rsid w:val="331F15B2"/>
    <w:rsid w:val="343976AA"/>
    <w:rsid w:val="34DD0D1F"/>
    <w:rsid w:val="3513571D"/>
    <w:rsid w:val="35B50735"/>
    <w:rsid w:val="37695B20"/>
    <w:rsid w:val="378D592D"/>
    <w:rsid w:val="380B352A"/>
    <w:rsid w:val="3A4B21AF"/>
    <w:rsid w:val="3BB112C9"/>
    <w:rsid w:val="3BB3259C"/>
    <w:rsid w:val="3EF812DB"/>
    <w:rsid w:val="3F616207"/>
    <w:rsid w:val="3FC31936"/>
    <w:rsid w:val="3FD42A0E"/>
    <w:rsid w:val="402E2320"/>
    <w:rsid w:val="40C63D3E"/>
    <w:rsid w:val="40DD372C"/>
    <w:rsid w:val="40EA1A26"/>
    <w:rsid w:val="41373F41"/>
    <w:rsid w:val="417324BA"/>
    <w:rsid w:val="42E65FFF"/>
    <w:rsid w:val="44A2401C"/>
    <w:rsid w:val="45C75928"/>
    <w:rsid w:val="47075688"/>
    <w:rsid w:val="479B03F3"/>
    <w:rsid w:val="47FB37EE"/>
    <w:rsid w:val="488B25B5"/>
    <w:rsid w:val="48AF6AA3"/>
    <w:rsid w:val="49957F36"/>
    <w:rsid w:val="49C94A02"/>
    <w:rsid w:val="49FC7B7D"/>
    <w:rsid w:val="4A552D55"/>
    <w:rsid w:val="4AC74341"/>
    <w:rsid w:val="4B3B3653"/>
    <w:rsid w:val="4D1528C7"/>
    <w:rsid w:val="4D26019E"/>
    <w:rsid w:val="4D395E3A"/>
    <w:rsid w:val="4D854963"/>
    <w:rsid w:val="4ED1680D"/>
    <w:rsid w:val="50467A3C"/>
    <w:rsid w:val="508B12BB"/>
    <w:rsid w:val="50CD746F"/>
    <w:rsid w:val="512C006F"/>
    <w:rsid w:val="516C6489"/>
    <w:rsid w:val="51876AC2"/>
    <w:rsid w:val="524C484F"/>
    <w:rsid w:val="52947B2C"/>
    <w:rsid w:val="53294719"/>
    <w:rsid w:val="535F6BD9"/>
    <w:rsid w:val="53BA11E6"/>
    <w:rsid w:val="545D22A2"/>
    <w:rsid w:val="548C3A2F"/>
    <w:rsid w:val="550628FA"/>
    <w:rsid w:val="57F0325C"/>
    <w:rsid w:val="588B7A76"/>
    <w:rsid w:val="59CE42E3"/>
    <w:rsid w:val="5A326DD5"/>
    <w:rsid w:val="5C260FB7"/>
    <w:rsid w:val="5D1A12C5"/>
    <w:rsid w:val="5E533450"/>
    <w:rsid w:val="5F211EC1"/>
    <w:rsid w:val="60CF3EDA"/>
    <w:rsid w:val="617903E8"/>
    <w:rsid w:val="61B92F47"/>
    <w:rsid w:val="62841EA6"/>
    <w:rsid w:val="63817628"/>
    <w:rsid w:val="63861E3B"/>
    <w:rsid w:val="63AB19A0"/>
    <w:rsid w:val="64513FF3"/>
    <w:rsid w:val="64C064BA"/>
    <w:rsid w:val="650C3DC5"/>
    <w:rsid w:val="654A7C1F"/>
    <w:rsid w:val="661F08FB"/>
    <w:rsid w:val="66763B91"/>
    <w:rsid w:val="66A723B9"/>
    <w:rsid w:val="6711187E"/>
    <w:rsid w:val="67DE160D"/>
    <w:rsid w:val="685242DF"/>
    <w:rsid w:val="68BC11C4"/>
    <w:rsid w:val="68F6711A"/>
    <w:rsid w:val="69443372"/>
    <w:rsid w:val="694C3318"/>
    <w:rsid w:val="698D727B"/>
    <w:rsid w:val="69A46CC2"/>
    <w:rsid w:val="6A5764AC"/>
    <w:rsid w:val="6AE83514"/>
    <w:rsid w:val="6B086013"/>
    <w:rsid w:val="6B0953E5"/>
    <w:rsid w:val="6C296590"/>
    <w:rsid w:val="6C4E0E05"/>
    <w:rsid w:val="6E117578"/>
    <w:rsid w:val="6E2E33A5"/>
    <w:rsid w:val="6EBF161D"/>
    <w:rsid w:val="6F026F3C"/>
    <w:rsid w:val="6F6B2B5C"/>
    <w:rsid w:val="702A272D"/>
    <w:rsid w:val="70A005BE"/>
    <w:rsid w:val="70C5614D"/>
    <w:rsid w:val="71070A2C"/>
    <w:rsid w:val="71DC36F0"/>
    <w:rsid w:val="72034719"/>
    <w:rsid w:val="722C62F2"/>
    <w:rsid w:val="722D2AE5"/>
    <w:rsid w:val="725630D0"/>
    <w:rsid w:val="72DE51A3"/>
    <w:rsid w:val="72F32E6A"/>
    <w:rsid w:val="748A1B15"/>
    <w:rsid w:val="76FF686B"/>
    <w:rsid w:val="77837817"/>
    <w:rsid w:val="778F68F8"/>
    <w:rsid w:val="77B7044F"/>
    <w:rsid w:val="790D7589"/>
    <w:rsid w:val="79612ADE"/>
    <w:rsid w:val="799419F3"/>
    <w:rsid w:val="7A902C21"/>
    <w:rsid w:val="7AB701E0"/>
    <w:rsid w:val="7C646270"/>
    <w:rsid w:val="7C7C2879"/>
    <w:rsid w:val="7E20744A"/>
    <w:rsid w:val="7EAD221F"/>
    <w:rsid w:val="7EE645AC"/>
    <w:rsid w:val="7F1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廖斌</cp:lastModifiedBy>
  <cp:lastPrinted>2022-11-02T01:39:00Z</cp:lastPrinted>
  <dcterms:modified xsi:type="dcterms:W3CDTF">2022-11-02T07:14:47Z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FF7923ADC57B40929CE20244D4CD3A55</vt:lpwstr>
  </property>
</Properties>
</file>